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FF15E" w14:textId="7A4DE5B8" w:rsidR="00A60C1E" w:rsidRPr="00A32FE4" w:rsidRDefault="00A60C1E" w:rsidP="00504B99">
      <w:pPr>
        <w:pStyle w:val="MDPI13authornames"/>
        <w:spacing w:line="240" w:lineRule="auto"/>
        <w:ind w:rightChars="47" w:right="94"/>
        <w:jc w:val="center"/>
        <w:rPr>
          <w:rFonts w:ascii="Arial" w:eastAsiaTheme="minorEastAsia" w:hAnsi="Arial" w:cs="Arial"/>
          <w:bCs/>
          <w:snapToGrid w:val="0"/>
          <w:sz w:val="24"/>
          <w:szCs w:val="24"/>
          <w:lang w:eastAsia="ko-KR"/>
        </w:rPr>
      </w:pPr>
      <w:bookmarkStart w:id="0" w:name="_Hlk148429503"/>
      <w:r w:rsidRPr="00A32FE4">
        <w:rPr>
          <w:rFonts w:ascii="Arial" w:hAnsi="Arial" w:cs="Arial"/>
          <w:bCs/>
          <w:snapToGrid w:val="0"/>
          <w:sz w:val="24"/>
          <w:szCs w:val="24"/>
        </w:rPr>
        <w:t>Profiling of Macrophage Polarization and Subpopulations in a Mouse Model of Endometriosis</w:t>
      </w:r>
    </w:p>
    <w:p w14:paraId="0002B0B5" w14:textId="1686FCE1" w:rsidR="00C631F3" w:rsidRPr="00A32FE4" w:rsidRDefault="00C631F3" w:rsidP="00504B99">
      <w:pPr>
        <w:pStyle w:val="MDPI13authornames"/>
        <w:spacing w:line="240" w:lineRule="auto"/>
        <w:ind w:rightChars="47" w:right="94"/>
        <w:jc w:val="center"/>
        <w:rPr>
          <w:rFonts w:ascii="Arial" w:eastAsiaTheme="minorEastAsia" w:hAnsi="Arial" w:cs="Arial"/>
          <w:b w:val="0"/>
          <w:color w:val="auto"/>
          <w:kern w:val="2"/>
          <w:sz w:val="22"/>
          <w:lang w:eastAsia="ko-KR"/>
        </w:rPr>
      </w:pPr>
      <w:r w:rsidRPr="00A32FE4">
        <w:rPr>
          <w:rFonts w:ascii="Arial" w:eastAsiaTheme="minorEastAsia" w:hAnsi="Arial" w:cs="Arial"/>
          <w:b w:val="0"/>
          <w:color w:val="auto"/>
          <w:kern w:val="2"/>
          <w:sz w:val="22"/>
          <w:lang w:eastAsia="ko-KR"/>
        </w:rPr>
        <w:t xml:space="preserve">Jun </w:t>
      </w:r>
      <w:r w:rsidR="00A719B5" w:rsidRPr="00A32FE4">
        <w:rPr>
          <w:rFonts w:ascii="Arial" w:eastAsiaTheme="minorEastAsia" w:hAnsi="Arial" w:cs="Arial"/>
          <w:b w:val="0"/>
          <w:color w:val="auto"/>
          <w:kern w:val="2"/>
          <w:sz w:val="22"/>
          <w:lang w:eastAsia="ko-KR"/>
        </w:rPr>
        <w:t>H</w:t>
      </w:r>
      <w:r w:rsidRPr="00A32FE4">
        <w:rPr>
          <w:rFonts w:ascii="Arial" w:eastAsiaTheme="minorEastAsia" w:hAnsi="Arial" w:cs="Arial"/>
          <w:b w:val="0"/>
          <w:color w:val="auto"/>
          <w:kern w:val="2"/>
          <w:sz w:val="22"/>
          <w:lang w:eastAsia="ko-KR"/>
        </w:rPr>
        <w:t>ee Choe</w:t>
      </w:r>
      <w:r w:rsidRPr="00A32FE4">
        <w:rPr>
          <w:rFonts w:ascii="Arial" w:eastAsiaTheme="minorEastAsia" w:hAnsi="Arial" w:cs="Arial"/>
          <w:b w:val="0"/>
          <w:color w:val="auto"/>
          <w:kern w:val="2"/>
          <w:sz w:val="22"/>
          <w:vertAlign w:val="superscript"/>
          <w:lang w:eastAsia="ko-KR"/>
        </w:rPr>
        <w:t>1</w:t>
      </w:r>
      <w:r w:rsidRPr="00A32FE4">
        <w:rPr>
          <w:rFonts w:ascii="Arial" w:eastAsiaTheme="minorEastAsia" w:hAnsi="Arial" w:cs="Arial"/>
          <w:b w:val="0"/>
          <w:color w:val="auto"/>
          <w:kern w:val="2"/>
          <w:sz w:val="22"/>
          <w:lang w:eastAsia="ko-KR"/>
        </w:rPr>
        <w:t>, Yeon Sun Kim</w:t>
      </w:r>
      <w:r w:rsidRPr="00A32FE4">
        <w:rPr>
          <w:rFonts w:ascii="Arial" w:eastAsiaTheme="minorEastAsia" w:hAnsi="Arial" w:cs="Arial"/>
          <w:b w:val="0"/>
          <w:color w:val="auto"/>
          <w:kern w:val="2"/>
          <w:sz w:val="22"/>
          <w:vertAlign w:val="superscript"/>
          <w:lang w:eastAsia="ko-KR"/>
        </w:rPr>
        <w:t>1</w:t>
      </w:r>
      <w:r w:rsidRPr="00A32FE4">
        <w:rPr>
          <w:rFonts w:ascii="Arial" w:eastAsiaTheme="minorEastAsia" w:hAnsi="Arial" w:cs="Arial"/>
          <w:b w:val="0"/>
          <w:color w:val="auto"/>
          <w:kern w:val="2"/>
          <w:sz w:val="22"/>
          <w:lang w:eastAsia="ko-KR"/>
        </w:rPr>
        <w:t>, and Haengseok Song</w:t>
      </w:r>
      <w:r w:rsidRPr="00A32FE4">
        <w:rPr>
          <w:rFonts w:ascii="Arial" w:eastAsiaTheme="minorEastAsia" w:hAnsi="Arial" w:cs="Arial"/>
          <w:b w:val="0"/>
          <w:color w:val="auto"/>
          <w:kern w:val="2"/>
          <w:sz w:val="22"/>
          <w:vertAlign w:val="superscript"/>
          <w:lang w:eastAsia="ko-KR"/>
        </w:rPr>
        <w:t>1, 2</w:t>
      </w:r>
    </w:p>
    <w:bookmarkEnd w:id="0"/>
    <w:p w14:paraId="64679C9A" w14:textId="7C306172" w:rsidR="00C631F3" w:rsidRPr="00A32FE4" w:rsidRDefault="006635AA" w:rsidP="00C631F3">
      <w:pPr>
        <w:pStyle w:val="MDPI18keywords"/>
        <w:spacing w:line="360" w:lineRule="auto"/>
        <w:ind w:leftChars="4" w:left="8"/>
        <w:jc w:val="center"/>
        <w:rPr>
          <w:rFonts w:ascii="Arial" w:eastAsiaTheme="minorEastAsia" w:hAnsi="Arial" w:cs="Arial"/>
          <w:bCs/>
          <w:snapToGrid/>
          <w:sz w:val="20"/>
          <w:szCs w:val="20"/>
          <w:lang w:eastAsia="ko-KR"/>
        </w:rPr>
      </w:pPr>
      <w:r w:rsidRPr="00A32FE4">
        <w:rPr>
          <w:rFonts w:ascii="Arial" w:eastAsiaTheme="minorEastAsia" w:hAnsi="Arial" w:cs="Arial"/>
          <w:bCs/>
          <w:snapToGrid/>
          <w:sz w:val="20"/>
          <w:szCs w:val="20"/>
          <w:vertAlign w:val="superscript"/>
          <w:lang w:eastAsia="ko-KR"/>
        </w:rPr>
        <w:t>1</w:t>
      </w:r>
      <w:r w:rsidR="00C631F3" w:rsidRPr="00A32FE4">
        <w:rPr>
          <w:rFonts w:ascii="Arial" w:hAnsi="Arial" w:cs="Arial"/>
          <w:bCs/>
          <w:snapToGrid/>
          <w:sz w:val="20"/>
          <w:szCs w:val="20"/>
        </w:rPr>
        <w:t>Division of Life Science</w:t>
      </w:r>
      <w:r w:rsidRPr="00A32FE4">
        <w:rPr>
          <w:rFonts w:ascii="Arial" w:eastAsiaTheme="minorEastAsia" w:hAnsi="Arial" w:cs="Arial"/>
          <w:bCs/>
          <w:snapToGrid/>
          <w:sz w:val="20"/>
          <w:szCs w:val="20"/>
          <w:lang w:eastAsia="ko-KR"/>
        </w:rPr>
        <w:t>s</w:t>
      </w:r>
      <w:r w:rsidR="00C631F3" w:rsidRPr="00A32FE4">
        <w:rPr>
          <w:rFonts w:ascii="Arial" w:hAnsi="Arial" w:cs="Arial"/>
          <w:bCs/>
          <w:snapToGrid/>
          <w:sz w:val="20"/>
          <w:szCs w:val="20"/>
        </w:rPr>
        <w:t>, CHA University</w:t>
      </w:r>
      <w:r w:rsidRPr="00A32FE4">
        <w:rPr>
          <w:rFonts w:ascii="Arial" w:eastAsiaTheme="minorEastAsia" w:hAnsi="Arial" w:cs="Arial"/>
          <w:bCs/>
          <w:snapToGrid/>
          <w:sz w:val="20"/>
          <w:szCs w:val="20"/>
          <w:lang w:eastAsia="ko-KR"/>
        </w:rPr>
        <w:t>, Korea</w:t>
      </w:r>
    </w:p>
    <w:p w14:paraId="5BFCD246" w14:textId="27FEE2FB" w:rsidR="006635AA" w:rsidRPr="00A32FE4" w:rsidRDefault="006635AA" w:rsidP="006635AA">
      <w:pPr>
        <w:pStyle w:val="MDPI18keywords"/>
        <w:spacing w:line="360" w:lineRule="auto"/>
        <w:ind w:leftChars="4" w:left="8"/>
        <w:jc w:val="center"/>
        <w:rPr>
          <w:rFonts w:ascii="Arial" w:eastAsiaTheme="minorEastAsia" w:hAnsi="Arial" w:cs="Arial"/>
          <w:bCs/>
          <w:snapToGrid/>
          <w:sz w:val="20"/>
          <w:szCs w:val="20"/>
          <w:lang w:eastAsia="ko-KR"/>
        </w:rPr>
      </w:pPr>
      <w:r w:rsidRPr="00A32FE4">
        <w:rPr>
          <w:rFonts w:ascii="Arial" w:eastAsiaTheme="minorEastAsia" w:hAnsi="Arial" w:cs="Arial"/>
          <w:bCs/>
          <w:snapToGrid/>
          <w:sz w:val="20"/>
          <w:szCs w:val="20"/>
          <w:vertAlign w:val="superscript"/>
          <w:lang w:eastAsia="ko-KR"/>
        </w:rPr>
        <w:t>2</w:t>
      </w:r>
      <w:r w:rsidRPr="00A32FE4">
        <w:rPr>
          <w:rFonts w:ascii="Arial" w:hAnsi="Arial" w:cs="Arial"/>
          <w:bCs/>
          <w:snapToGrid/>
          <w:sz w:val="20"/>
          <w:szCs w:val="20"/>
        </w:rPr>
        <w:t>Departments of Life Sciences, Graduate School, CHA University</w:t>
      </w:r>
      <w:r w:rsidRPr="00A32FE4">
        <w:rPr>
          <w:rFonts w:ascii="Arial" w:eastAsiaTheme="minorEastAsia" w:hAnsi="Arial" w:cs="Arial"/>
          <w:bCs/>
          <w:snapToGrid/>
          <w:sz w:val="20"/>
          <w:szCs w:val="20"/>
          <w:lang w:eastAsia="ko-KR"/>
        </w:rPr>
        <w:t>, Korea</w:t>
      </w:r>
    </w:p>
    <w:p w14:paraId="4C8D18CA" w14:textId="77777777" w:rsidR="006635AA" w:rsidRPr="00A32FE4" w:rsidRDefault="006635AA" w:rsidP="006635AA">
      <w:pPr>
        <w:rPr>
          <w:rFonts w:ascii="Arial" w:hAnsi="Arial" w:cs="Arial"/>
          <w:lang w:bidi="en-US"/>
        </w:rPr>
      </w:pPr>
    </w:p>
    <w:p w14:paraId="55B2A61C" w14:textId="53394604" w:rsidR="00A719B5" w:rsidRPr="00A32FE4" w:rsidRDefault="00A719B5" w:rsidP="00A32FE4">
      <w:pPr>
        <w:pStyle w:val="MDPI18keywords"/>
        <w:spacing w:line="276" w:lineRule="auto"/>
        <w:ind w:leftChars="4" w:left="8" w:firstLineChars="100" w:firstLine="200"/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</w:pP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Endometriosis is a chronic estrogen (E</w:t>
      </w: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vertAlign w:val="subscript"/>
          <w:lang w:eastAsia="ko-KR"/>
        </w:rPr>
        <w:t>2</w:t>
      </w: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)-dependent inflammatory disease characterized by immune dysfunction within the peritoneal cavity. Macrophages serve as central cellular mediators in this pathophysiology. Although conventionally classified into pro-inflammatory M1 and anti-inflammatory M2 phenotypes, how their polarization dynamics shift and impact the disease remains largely unknown. Additionally, while recent studies have revealed functional heterogeneities based on macrophage origin (embryonic- or monocyte-derived), these ontogeny-specific differences have yet to be clarified in the context of endometriosis. Consequently, a consensus on the optimal model for studying these complex mechanisms is lacking.</w:t>
      </w:r>
    </w:p>
    <w:p w14:paraId="32EC2423" w14:textId="4E8F12F2" w:rsidR="006635AA" w:rsidRPr="00A32FE4" w:rsidRDefault="00A86DEC" w:rsidP="00765187">
      <w:pPr>
        <w:pStyle w:val="MDPI18keywords"/>
        <w:spacing w:line="276" w:lineRule="auto"/>
        <w:ind w:leftChars="4" w:left="8" w:firstLineChars="100" w:firstLine="200"/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</w:pP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To establish a physiologically relevant </w:t>
      </w:r>
      <w:r w:rsidR="00FF11CA" w:rsidRPr="00A32FE4">
        <w:rPr>
          <w:rFonts w:ascii="Arial" w:eastAsiaTheme="minorEastAsia" w:hAnsi="Arial" w:cs="Arial"/>
          <w:i/>
          <w:iCs/>
          <w:snapToGrid/>
          <w:color w:val="auto"/>
          <w:kern w:val="2"/>
          <w:sz w:val="20"/>
          <w:szCs w:val="20"/>
          <w:lang w:eastAsia="ko-KR"/>
        </w:rPr>
        <w:t xml:space="preserve">in </w:t>
      </w:r>
      <w:r w:rsidRPr="00A32FE4">
        <w:rPr>
          <w:rFonts w:ascii="Arial" w:eastAsiaTheme="minorEastAsia" w:hAnsi="Arial" w:cs="Arial"/>
          <w:i/>
          <w:iCs/>
          <w:snapToGrid/>
          <w:color w:val="auto"/>
          <w:kern w:val="2"/>
          <w:sz w:val="20"/>
          <w:szCs w:val="20"/>
          <w:lang w:eastAsia="ko-KR"/>
        </w:rPr>
        <w:t>vivo</w:t>
      </w: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model, donor uterine fragments</w:t>
      </w:r>
      <w:r w:rsidR="00FF11CA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(&lt;1</w:t>
      </w:r>
      <w:r w:rsidR="00E36299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</w:t>
      </w:r>
      <w:r w:rsidR="00FF11CA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mm</w:t>
      </w:r>
      <w:r w:rsidR="00FF11CA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vertAlign w:val="superscript"/>
          <w:lang w:eastAsia="ko-KR"/>
        </w:rPr>
        <w:t>3</w:t>
      </w:r>
      <w:r w:rsidR="00FF11CA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) </w:t>
      </w: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were intraperitoneally introduced into recipient mice</w:t>
      </w:r>
      <w:r w:rsidR="00A60C1E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on day 0</w:t>
      </w: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. Subsequently, the peritoneal cells were isolated</w:t>
      </w:r>
      <w:r w:rsidR="008F2E8B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on days 5, 10</w:t>
      </w:r>
      <w:r w:rsidR="00A60C1E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,</w:t>
      </w:r>
      <w:r w:rsidR="008F2E8B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and 14</w:t>
      </w: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, and the dynamic alterations of macrophage subpopulations and their polarization statuses were evaluated using flow cytometric analysis.</w:t>
      </w:r>
    </w:p>
    <w:p w14:paraId="305F26CB" w14:textId="1B2D0573" w:rsidR="00C631F3" w:rsidRPr="00A32FE4" w:rsidRDefault="00C631F3" w:rsidP="00765187">
      <w:pPr>
        <w:pStyle w:val="MDPI18keywords"/>
        <w:spacing w:line="276" w:lineRule="auto"/>
        <w:ind w:leftChars="4" w:left="8" w:firstLineChars="100" w:firstLine="200"/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</w:pP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In this study, six experimental mouse models were comparatively evaluated based on </w:t>
      </w:r>
      <w:r w:rsidR="00A86DEC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recipient mouse condition (intact vs. ovariectomy [OVX]), the application of hormone priming, and the origin of the donor tissue (syngeneic vs. autologous)</w:t>
      </w: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. The intact-syngeneic model demonstrated significantly superior lesion establishment rates compared to OVX models, validating its utility as a physiologically relevant model that preserves natural hormonal cycling.</w:t>
      </w:r>
    </w:p>
    <w:p w14:paraId="2ED5B734" w14:textId="77777777" w:rsidR="00A32FE4" w:rsidRPr="00A32FE4" w:rsidRDefault="00A60C1E" w:rsidP="00A343D2">
      <w:pPr>
        <w:pStyle w:val="MDPI18keywords"/>
        <w:spacing w:line="276" w:lineRule="auto"/>
        <w:ind w:leftChars="4" w:left="8" w:firstLineChars="100" w:firstLine="200"/>
        <w:rPr>
          <w:rFonts w:ascii="Arial" w:eastAsiaTheme="minorEastAsia" w:hAnsi="Arial" w:cs="Arial"/>
          <w:lang w:eastAsia="ko-KR"/>
        </w:rPr>
      </w:pP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It was revealed that </w:t>
      </w:r>
      <w:r w:rsidR="00C91C23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disease induction triggers a sustained</w:t>
      </w:r>
      <w:r w:rsidR="00E36299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,</w:t>
      </w:r>
      <w:r w:rsidR="00C91C23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dramatic expansion of monocyte-derived small peritoneal macrophages (SPMs) and a concurrent reduction in tissue-resident large peritoneal macrophages (</w:t>
      </w:r>
      <w:proofErr w:type="spellStart"/>
      <w:r w:rsidR="00C91C23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tLPMs</w:t>
      </w:r>
      <w:proofErr w:type="spellEnd"/>
      <w:r w:rsidR="00C91C23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) throughout the disease progression. Furthermore, </w:t>
      </w:r>
      <w:r w:rsidR="00A32FE4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the analysis demonstrated</w:t>
      </w:r>
      <w:r w:rsidR="00C91C23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 xml:space="preserve"> a predominant M1 (CD80 </w:t>
      </w:r>
      <w:r w:rsidR="00C91C23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vertAlign w:val="superscript"/>
          <w:lang w:eastAsia="ko-KR"/>
        </w:rPr>
        <w:t>high</w:t>
      </w:r>
      <w:r w:rsidR="00C91C23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) pro-inflammatory profile across all macrophage subsets during the early lesion establishment phase, followed by a subset-specific upregulation of M2 markers (CD206) at a later stage. This temporal shift provides a more nuanced understanding of the immune microenvironment</w:t>
      </w:r>
      <w:r w:rsidR="004617B8"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.</w:t>
      </w:r>
      <w:r w:rsidR="00A32FE4" w:rsidRPr="00A32FE4">
        <w:rPr>
          <w:rFonts w:ascii="Arial" w:hAnsi="Arial" w:cs="Arial"/>
        </w:rPr>
        <w:t xml:space="preserve"> </w:t>
      </w:r>
    </w:p>
    <w:p w14:paraId="57A0BB5E" w14:textId="574CAB56" w:rsidR="00FF11CA" w:rsidRDefault="00A32FE4" w:rsidP="00A343D2">
      <w:pPr>
        <w:pStyle w:val="MDPI18keywords"/>
        <w:spacing w:line="276" w:lineRule="auto"/>
        <w:ind w:leftChars="4" w:left="8" w:firstLineChars="100" w:firstLine="200"/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</w:pPr>
      <w:r w:rsidRPr="00A32FE4">
        <w:rPr>
          <w:rFonts w:ascii="Arial" w:eastAsiaTheme="minorEastAsia" w:hAnsi="Arial" w:cs="Arial"/>
          <w:snapToGrid/>
          <w:color w:val="auto"/>
          <w:kern w:val="2"/>
          <w:sz w:val="20"/>
          <w:szCs w:val="20"/>
          <w:lang w:eastAsia="ko-KR"/>
        </w:rPr>
        <w:t>Collectively, these findings provide fundamental insights into the stage-specific immune landscape of endometriosis and suggest that future studies should focus on identifying modalities to directly alter this pathogenic peritoneal milieu</w:t>
      </w:r>
      <w:r>
        <w:rPr>
          <w:rFonts w:ascii="Arial" w:eastAsiaTheme="minorEastAsia" w:hAnsi="Arial" w:cs="Arial" w:hint="eastAsia"/>
          <w:snapToGrid/>
          <w:color w:val="auto"/>
          <w:kern w:val="2"/>
          <w:sz w:val="20"/>
          <w:szCs w:val="20"/>
          <w:lang w:eastAsia="ko-KR"/>
        </w:rPr>
        <w:t>.</w:t>
      </w:r>
    </w:p>
    <w:p w14:paraId="6657A4B8" w14:textId="77777777" w:rsidR="00A32FE4" w:rsidRDefault="00A32FE4" w:rsidP="00A32FE4">
      <w:pPr>
        <w:rPr>
          <w:lang w:bidi="en-US"/>
        </w:rPr>
      </w:pPr>
    </w:p>
    <w:p w14:paraId="64E45E2F" w14:textId="68386A23" w:rsidR="00A32FE4" w:rsidRPr="00A32FE4" w:rsidRDefault="00A32FE4" w:rsidP="00A32FE4">
      <w:pPr>
        <w:rPr>
          <w:rFonts w:ascii="Arial" w:eastAsia="HY신명조" w:hAnsi="Arial" w:cs="Arial"/>
          <w:bCs/>
          <w:szCs w:val="20"/>
        </w:rPr>
      </w:pPr>
      <w:r w:rsidRPr="00A32FE4">
        <w:rPr>
          <w:rFonts w:ascii="Arial" w:eastAsia="HY신명조" w:hAnsi="Arial" w:cs="Arial"/>
          <w:bCs/>
          <w:szCs w:val="20"/>
        </w:rPr>
        <w:t xml:space="preserve">This research was supported by RS-2025-00555257, RS-2025-02223118, RS-2025-02215684, RS-2025-00517458, RS-2023-00220463, </w:t>
      </w:r>
      <w:r>
        <w:rPr>
          <w:rFonts w:ascii="Arial" w:eastAsia="HY신명조" w:hAnsi="Arial" w:cs="Arial" w:hint="eastAsia"/>
          <w:bCs/>
          <w:szCs w:val="20"/>
        </w:rPr>
        <w:t xml:space="preserve">and </w:t>
      </w:r>
      <w:r w:rsidRPr="00A32FE4">
        <w:rPr>
          <w:rFonts w:ascii="Arial" w:eastAsia="HY신명조" w:hAnsi="Arial" w:cs="Arial"/>
          <w:bCs/>
          <w:szCs w:val="20"/>
        </w:rPr>
        <w:t>RS-2019-NR40073</w:t>
      </w:r>
      <w:r>
        <w:rPr>
          <w:rFonts w:ascii="Arial" w:eastAsia="HY신명조" w:hAnsi="Arial" w:cs="Arial" w:hint="eastAsia"/>
          <w:bCs/>
          <w:szCs w:val="20"/>
        </w:rPr>
        <w:t>.</w:t>
      </w:r>
    </w:p>
    <w:p w14:paraId="769D505E" w14:textId="77777777" w:rsidR="00A60C1E" w:rsidRPr="00A32FE4" w:rsidRDefault="00A60C1E" w:rsidP="00A60C1E">
      <w:pPr>
        <w:rPr>
          <w:rFonts w:ascii="Arial" w:hAnsi="Arial" w:cs="Arial"/>
          <w:lang w:bidi="en-US"/>
        </w:rPr>
      </w:pPr>
    </w:p>
    <w:p w14:paraId="6B471269" w14:textId="6F4FDB2C" w:rsidR="00CF418B" w:rsidRPr="00A32FE4" w:rsidRDefault="00C631F3" w:rsidP="00FF11CA">
      <w:pPr>
        <w:rPr>
          <w:rFonts w:ascii="Arial" w:eastAsia="HY신명조" w:hAnsi="Arial" w:cs="Arial"/>
          <w:bCs/>
          <w:szCs w:val="20"/>
        </w:rPr>
      </w:pPr>
      <w:r w:rsidRPr="00A32FE4">
        <w:rPr>
          <w:rFonts w:ascii="Arial" w:hAnsi="Arial" w:cs="Arial"/>
          <w:sz w:val="18"/>
          <w:szCs w:val="20"/>
          <w:lang w:bidi="en-US"/>
        </w:rPr>
        <w:t xml:space="preserve"> </w:t>
      </w:r>
      <w:r w:rsidR="007015E9" w:rsidRPr="00A32FE4">
        <w:rPr>
          <w:rFonts w:ascii="Arial" w:eastAsia="HY신명조" w:hAnsi="Arial" w:cs="Arial"/>
          <w:b/>
          <w:szCs w:val="20"/>
        </w:rPr>
        <w:t>Keywords</w:t>
      </w:r>
      <w:r w:rsidR="007015E9" w:rsidRPr="00A32FE4">
        <w:rPr>
          <w:rFonts w:ascii="Arial" w:eastAsia="HY신명조" w:hAnsi="Arial" w:cs="Arial"/>
          <w:bCs/>
          <w:szCs w:val="20"/>
        </w:rPr>
        <w:t>:</w:t>
      </w:r>
      <w:r w:rsidR="00463611" w:rsidRPr="00A32FE4">
        <w:rPr>
          <w:rFonts w:ascii="Arial" w:eastAsia="HY신명조" w:hAnsi="Arial" w:cs="Arial"/>
          <w:bCs/>
          <w:szCs w:val="20"/>
        </w:rPr>
        <w:t xml:space="preserve"> </w:t>
      </w:r>
      <w:r w:rsidRPr="00A32FE4">
        <w:rPr>
          <w:rFonts w:ascii="Arial" w:eastAsia="HY신명조" w:hAnsi="Arial" w:cs="Arial"/>
          <w:bCs/>
          <w:szCs w:val="20"/>
        </w:rPr>
        <w:t xml:space="preserve">Endometriosis, Mouse </w:t>
      </w:r>
      <w:r w:rsidR="00E36299" w:rsidRPr="00A32FE4">
        <w:rPr>
          <w:rFonts w:ascii="Arial" w:eastAsia="HY신명조" w:hAnsi="Arial" w:cs="Arial"/>
          <w:bCs/>
          <w:szCs w:val="20"/>
        </w:rPr>
        <w:t>m</w:t>
      </w:r>
      <w:r w:rsidRPr="00A32FE4">
        <w:rPr>
          <w:rFonts w:ascii="Arial" w:eastAsia="HY신명조" w:hAnsi="Arial" w:cs="Arial"/>
          <w:bCs/>
          <w:szCs w:val="20"/>
        </w:rPr>
        <w:t xml:space="preserve">odel of </w:t>
      </w:r>
      <w:r w:rsidR="00E36299" w:rsidRPr="00A32FE4">
        <w:rPr>
          <w:rFonts w:ascii="Arial" w:eastAsia="HY신명조" w:hAnsi="Arial" w:cs="Arial"/>
          <w:bCs/>
          <w:szCs w:val="20"/>
        </w:rPr>
        <w:t>e</w:t>
      </w:r>
      <w:r w:rsidRPr="00A32FE4">
        <w:rPr>
          <w:rFonts w:ascii="Arial" w:eastAsia="HY신명조" w:hAnsi="Arial" w:cs="Arial"/>
          <w:bCs/>
          <w:szCs w:val="20"/>
        </w:rPr>
        <w:t>ndometriosis, Macrophage, Macrophage polarization, Peritoneal macrophage</w:t>
      </w:r>
    </w:p>
    <w:p w14:paraId="534667ED" w14:textId="77777777" w:rsidR="00A60C1E" w:rsidRPr="00C91C23" w:rsidRDefault="00A60C1E" w:rsidP="00FF11CA">
      <w:pPr>
        <w:rPr>
          <w:sz w:val="18"/>
          <w:szCs w:val="20"/>
          <w:lang w:bidi="en-US"/>
        </w:rPr>
      </w:pPr>
    </w:p>
    <w:sectPr w:rsidR="00A60C1E" w:rsidRPr="00C91C2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7D3AD" w14:textId="77777777" w:rsidR="00F14BB4" w:rsidRDefault="00F14BB4" w:rsidP="00075F3B">
      <w:pPr>
        <w:spacing w:after="0" w:line="240" w:lineRule="auto"/>
      </w:pPr>
      <w:r>
        <w:separator/>
      </w:r>
    </w:p>
  </w:endnote>
  <w:endnote w:type="continuationSeparator" w:id="0">
    <w:p w14:paraId="4BA3E8C8" w14:textId="77777777" w:rsidR="00F14BB4" w:rsidRDefault="00F14BB4" w:rsidP="00075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D0CE6" w14:textId="77777777" w:rsidR="00F14BB4" w:rsidRDefault="00F14BB4" w:rsidP="00075F3B">
      <w:pPr>
        <w:spacing w:after="0" w:line="240" w:lineRule="auto"/>
      </w:pPr>
      <w:r>
        <w:separator/>
      </w:r>
    </w:p>
  </w:footnote>
  <w:footnote w:type="continuationSeparator" w:id="0">
    <w:p w14:paraId="29EA5D92" w14:textId="77777777" w:rsidR="00F14BB4" w:rsidRDefault="00F14BB4" w:rsidP="00075F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Q0tDAyNALSlgZmJko6SsGpxcWZ+XkgBca1AGAH0kAsAAAA"/>
  </w:docVars>
  <w:rsids>
    <w:rsidRoot w:val="007015E9"/>
    <w:rsid w:val="0004730E"/>
    <w:rsid w:val="00050275"/>
    <w:rsid w:val="00061997"/>
    <w:rsid w:val="000709EA"/>
    <w:rsid w:val="000754D2"/>
    <w:rsid w:val="00075F3B"/>
    <w:rsid w:val="000D41CF"/>
    <w:rsid w:val="00115A26"/>
    <w:rsid w:val="00151911"/>
    <w:rsid w:val="00152235"/>
    <w:rsid w:val="00161324"/>
    <w:rsid w:val="00186A24"/>
    <w:rsid w:val="001D64D8"/>
    <w:rsid w:val="001F611D"/>
    <w:rsid w:val="00212FF3"/>
    <w:rsid w:val="002435F7"/>
    <w:rsid w:val="00271316"/>
    <w:rsid w:val="002E5770"/>
    <w:rsid w:val="00311595"/>
    <w:rsid w:val="003209B0"/>
    <w:rsid w:val="003409C3"/>
    <w:rsid w:val="00446394"/>
    <w:rsid w:val="004617B8"/>
    <w:rsid w:val="00463611"/>
    <w:rsid w:val="00477B0A"/>
    <w:rsid w:val="00504B99"/>
    <w:rsid w:val="005101A1"/>
    <w:rsid w:val="00570F94"/>
    <w:rsid w:val="0058449F"/>
    <w:rsid w:val="00624B08"/>
    <w:rsid w:val="00643586"/>
    <w:rsid w:val="006635AA"/>
    <w:rsid w:val="006A2989"/>
    <w:rsid w:val="006C07C9"/>
    <w:rsid w:val="007015E9"/>
    <w:rsid w:val="00733712"/>
    <w:rsid w:val="00753DBE"/>
    <w:rsid w:val="007617CD"/>
    <w:rsid w:val="00763522"/>
    <w:rsid w:val="00765187"/>
    <w:rsid w:val="00780D89"/>
    <w:rsid w:val="007B4038"/>
    <w:rsid w:val="007D545F"/>
    <w:rsid w:val="007E35B9"/>
    <w:rsid w:val="00812CB9"/>
    <w:rsid w:val="008669CA"/>
    <w:rsid w:val="008A667F"/>
    <w:rsid w:val="008B0096"/>
    <w:rsid w:val="008F2E8B"/>
    <w:rsid w:val="009D2C84"/>
    <w:rsid w:val="009E020C"/>
    <w:rsid w:val="00A10AAD"/>
    <w:rsid w:val="00A25567"/>
    <w:rsid w:val="00A26340"/>
    <w:rsid w:val="00A32FE4"/>
    <w:rsid w:val="00A343D2"/>
    <w:rsid w:val="00A427E1"/>
    <w:rsid w:val="00A46A75"/>
    <w:rsid w:val="00A60C1E"/>
    <w:rsid w:val="00A719B5"/>
    <w:rsid w:val="00A77CAD"/>
    <w:rsid w:val="00A839DE"/>
    <w:rsid w:val="00A86DEC"/>
    <w:rsid w:val="00AC5E5D"/>
    <w:rsid w:val="00AD7F13"/>
    <w:rsid w:val="00AE3CF0"/>
    <w:rsid w:val="00B443CE"/>
    <w:rsid w:val="00B624EB"/>
    <w:rsid w:val="00B83374"/>
    <w:rsid w:val="00BB76D5"/>
    <w:rsid w:val="00BD14F3"/>
    <w:rsid w:val="00BF6A77"/>
    <w:rsid w:val="00C448CE"/>
    <w:rsid w:val="00C52D11"/>
    <w:rsid w:val="00C631F3"/>
    <w:rsid w:val="00C91C23"/>
    <w:rsid w:val="00CF418B"/>
    <w:rsid w:val="00D34E7B"/>
    <w:rsid w:val="00E054FE"/>
    <w:rsid w:val="00E36299"/>
    <w:rsid w:val="00EC3CAC"/>
    <w:rsid w:val="00F02D84"/>
    <w:rsid w:val="00F14BB4"/>
    <w:rsid w:val="00F34C8F"/>
    <w:rsid w:val="00F45760"/>
    <w:rsid w:val="00F51C6B"/>
    <w:rsid w:val="00F605A1"/>
    <w:rsid w:val="00FD0417"/>
    <w:rsid w:val="00FD4DAE"/>
    <w:rsid w:val="00FE1621"/>
    <w:rsid w:val="00FF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2EBD43"/>
  <w15:chartTrackingRefBased/>
  <w15:docId w15:val="{2740E4D3-8D06-4435-8F94-3A1757C5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3authornames">
    <w:name w:val="MDPI_1.3_authornames"/>
    <w:next w:val="a"/>
    <w:qFormat/>
    <w:rsid w:val="007015E9"/>
    <w:pPr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12title">
    <w:name w:val="MDPI_1.2_title"/>
    <w:next w:val="a"/>
    <w:qFormat/>
    <w:rsid w:val="007015E9"/>
    <w:pPr>
      <w:adjustRightInd w:val="0"/>
      <w:snapToGrid w:val="0"/>
      <w:spacing w:after="240" w:line="240" w:lineRule="atLeas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8keywords">
    <w:name w:val="MDPI_1.8_keywords"/>
    <w:next w:val="a"/>
    <w:qFormat/>
    <w:rsid w:val="007015E9"/>
    <w:pPr>
      <w:adjustRightInd w:val="0"/>
      <w:snapToGrid w:val="0"/>
      <w:spacing w:before="240" w:after="0" w:line="260" w:lineRule="atLeast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sz w:val="18"/>
      <w:lang w:eastAsia="de-DE" w:bidi="en-US"/>
    </w:rPr>
  </w:style>
  <w:style w:type="character" w:styleId="a3">
    <w:name w:val="annotation reference"/>
    <w:basedOn w:val="a0"/>
    <w:uiPriority w:val="99"/>
    <w:semiHidden/>
    <w:unhideWhenUsed/>
    <w:rsid w:val="00477B0A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477B0A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477B0A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477B0A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477B0A"/>
    <w:rPr>
      <w:b/>
      <w:bCs/>
    </w:rPr>
  </w:style>
  <w:style w:type="paragraph" w:styleId="a6">
    <w:name w:val="header"/>
    <w:basedOn w:val="a"/>
    <w:link w:val="Char1"/>
    <w:uiPriority w:val="99"/>
    <w:unhideWhenUsed/>
    <w:rsid w:val="00075F3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075F3B"/>
  </w:style>
  <w:style w:type="paragraph" w:styleId="a7">
    <w:name w:val="footer"/>
    <w:basedOn w:val="a"/>
    <w:link w:val="Char2"/>
    <w:uiPriority w:val="99"/>
    <w:unhideWhenUsed/>
    <w:rsid w:val="00075F3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07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52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조나연</dc:creator>
  <cp:keywords/>
  <dc:description/>
  <cp:lastModifiedBy>행석 송</cp:lastModifiedBy>
  <cp:revision>24</cp:revision>
  <cp:lastPrinted>2026-04-02T10:00:00Z</cp:lastPrinted>
  <dcterms:created xsi:type="dcterms:W3CDTF">2026-04-01T05:57:00Z</dcterms:created>
  <dcterms:modified xsi:type="dcterms:W3CDTF">2026-04-03T06:13:00Z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2af75ca05a863f7d30075f37ab0c3c58c4fd21a27b0d3ff4f01f9c87885c684e</vt:lpwstr>
  </property>
</Properties>
</file>