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6AC08" w14:textId="77777777" w:rsidR="00C015FF" w:rsidRPr="00141667" w:rsidRDefault="00141667">
      <w:pPr>
        <w:spacing w:after="429"/>
        <w:ind w:left="0" w:right="1" w:firstLine="0"/>
        <w:jc w:val="center"/>
        <w:rPr>
          <w:rFonts w:eastAsiaTheme="minorEastAsia"/>
          <w:b/>
          <w:sz w:val="22"/>
        </w:rPr>
      </w:pPr>
      <w:r w:rsidRPr="00141667">
        <w:rPr>
          <w:rFonts w:eastAsiaTheme="minorEastAsia"/>
          <w:b/>
          <w:sz w:val="22"/>
        </w:rPr>
        <w:t xml:space="preserve">The possible </w:t>
      </w:r>
      <w:r w:rsidRPr="00141667">
        <w:rPr>
          <w:rFonts w:eastAsiaTheme="minorEastAsia" w:hint="eastAsia"/>
          <w:b/>
          <w:sz w:val="22"/>
        </w:rPr>
        <w:t>rol</w:t>
      </w:r>
      <w:r w:rsidRPr="00141667">
        <w:rPr>
          <w:rFonts w:eastAsiaTheme="minorEastAsia"/>
          <w:b/>
          <w:sz w:val="22"/>
        </w:rPr>
        <w:t>e of RNA-binding protein DAZL in uterine function</w:t>
      </w:r>
    </w:p>
    <w:p w14:paraId="1E72976F" w14:textId="77777777" w:rsidR="00C015FF" w:rsidRDefault="005356FD">
      <w:pPr>
        <w:spacing w:after="369" w:line="362" w:lineRule="auto"/>
        <w:ind w:left="10" w:hanging="10"/>
        <w:jc w:val="center"/>
      </w:pPr>
      <w:proofErr w:type="spellStart"/>
      <w:r>
        <w:rPr>
          <w:u w:val="single" w:color="000000"/>
        </w:rPr>
        <w:t>HeeJi</w:t>
      </w:r>
      <w:proofErr w:type="spellEnd"/>
      <w:r>
        <w:rPr>
          <w:u w:val="single" w:color="000000"/>
        </w:rPr>
        <w:t xml:space="preserve"> Choi</w:t>
      </w:r>
      <w:r>
        <w:t xml:space="preserve">, </w:t>
      </w:r>
      <w:proofErr w:type="spellStart"/>
      <w:r>
        <w:t>YongPil</w:t>
      </w:r>
      <w:proofErr w:type="spellEnd"/>
      <w:r>
        <w:t xml:space="preserve"> Cheon</w:t>
      </w:r>
      <w:r>
        <w:rPr>
          <w:color w:val="333333"/>
          <w:vertAlign w:val="superscript"/>
        </w:rPr>
        <w:t>*</w:t>
      </w:r>
      <w:r>
        <w:t xml:space="preserve"> </w:t>
      </w:r>
    </w:p>
    <w:p w14:paraId="2D283FC9" w14:textId="77777777" w:rsidR="00C015FF" w:rsidRDefault="005356FD">
      <w:pPr>
        <w:spacing w:after="689" w:line="362" w:lineRule="auto"/>
        <w:ind w:left="10" w:right="0" w:hanging="10"/>
        <w:jc w:val="center"/>
      </w:pPr>
      <w:r>
        <w:t xml:space="preserve">Center for Development and Progress Research, Division of Developmental Biology and Physiology, Department of Biotechnology, Institute for Basic Sciences, Sungshin University, Seoul 02844, Korea </w:t>
      </w:r>
    </w:p>
    <w:p w14:paraId="7C23E047" w14:textId="122F86D9" w:rsidR="00C015FF" w:rsidRDefault="005356FD">
      <w:pPr>
        <w:spacing w:after="1721" w:line="365" w:lineRule="auto"/>
        <w:ind w:left="-6" w:right="0"/>
      </w:pPr>
      <w:r>
        <w:t>Uterine decidualization</w:t>
      </w:r>
      <w:r w:rsidR="009F1E4A">
        <w:t xml:space="preserve"> is the</w:t>
      </w:r>
      <w:r>
        <w:t xml:space="preserve"> function</w:t>
      </w:r>
      <w:r w:rsidR="00306C4E">
        <w:t>al</w:t>
      </w:r>
      <w:r>
        <w:t xml:space="preserve"> and </w:t>
      </w:r>
      <w:r w:rsidR="00306C4E">
        <w:t>morphological changes</w:t>
      </w:r>
      <w:r>
        <w:t xml:space="preserve"> of</w:t>
      </w:r>
      <w:r w:rsidR="00A73283">
        <w:rPr>
          <w:rFonts w:eastAsiaTheme="minorEastAsia" w:hint="eastAsia"/>
        </w:rPr>
        <w:t xml:space="preserve"> uterine endometrial ce</w:t>
      </w:r>
      <w:r>
        <w:t xml:space="preserve">lls, which </w:t>
      </w:r>
      <w:r w:rsidR="00A73283">
        <w:rPr>
          <w:rFonts w:eastAsiaTheme="minorEastAsia" w:hint="eastAsia"/>
        </w:rPr>
        <w:t>are</w:t>
      </w:r>
      <w:r>
        <w:t xml:space="preserve"> induced by steroid hormones. In some mammalian species, decidualization is required </w:t>
      </w:r>
      <w:r w:rsidR="00306C4E">
        <w:t>for</w:t>
      </w:r>
      <w:r>
        <w:t xml:space="preserve"> embryo</w:t>
      </w:r>
      <w:hyperlink r:id="rId4">
        <w:r>
          <w:t xml:space="preserve"> implantation</w:t>
        </w:r>
        <w:r w:rsidR="00A73283">
          <w:rPr>
            <w:rFonts w:eastAsiaTheme="minorEastAsia" w:hint="eastAsia"/>
          </w:rPr>
          <w:t xml:space="preserve"> and </w:t>
        </w:r>
      </w:hyperlink>
      <w:r>
        <w:t>placentation development</w:t>
      </w:r>
      <w:r w:rsidR="00306C4E">
        <w:t>,</w:t>
      </w:r>
      <w:r>
        <w:t xml:space="preserve"> and </w:t>
      </w:r>
      <w:r w:rsidR="00A73283">
        <w:rPr>
          <w:rFonts w:eastAsiaTheme="minorEastAsia" w:hint="eastAsia"/>
        </w:rPr>
        <w:t xml:space="preserve">is </w:t>
      </w:r>
      <w:r>
        <w:t xml:space="preserve">associated with miscarriage. The </w:t>
      </w:r>
      <w:proofErr w:type="spellStart"/>
      <w:r>
        <w:t>misregulation</w:t>
      </w:r>
      <w:proofErr w:type="spellEnd"/>
      <w:r>
        <w:t xml:space="preserve"> of gene</w:t>
      </w:r>
      <w:r w:rsidR="00306C4E">
        <w:t>tic</w:t>
      </w:r>
      <w:r>
        <w:t xml:space="preserve"> information during gametogenesis contributes to 12%–15% of infertility in couples worldwide. </w:t>
      </w:r>
      <w:r w:rsidR="00A73283">
        <w:rPr>
          <w:rFonts w:eastAsiaTheme="minorEastAsia" w:hint="eastAsia"/>
        </w:rPr>
        <w:t xml:space="preserve">The </w:t>
      </w:r>
      <w:r w:rsidRPr="00A73283">
        <w:rPr>
          <w:i/>
          <w:iCs/>
        </w:rPr>
        <w:t>D</w:t>
      </w:r>
      <w:r w:rsidR="00A73283" w:rsidRPr="00A73283">
        <w:rPr>
          <w:rFonts w:eastAsiaTheme="minorEastAsia" w:hint="eastAsia"/>
          <w:i/>
          <w:iCs/>
        </w:rPr>
        <w:t>az</w:t>
      </w:r>
      <w:r>
        <w:t xml:space="preserve"> (Deleted in Azoospermia) gene family</w:t>
      </w:r>
      <w:r w:rsidR="00306C4E">
        <w:t xml:space="preserve">, including </w:t>
      </w:r>
      <w:proofErr w:type="spellStart"/>
      <w:r w:rsidR="00306C4E" w:rsidRPr="00A73283">
        <w:rPr>
          <w:i/>
          <w:iCs/>
        </w:rPr>
        <w:t>D</w:t>
      </w:r>
      <w:r w:rsidR="00A73283" w:rsidRPr="00A73283">
        <w:rPr>
          <w:rFonts w:eastAsiaTheme="minorEastAsia" w:hint="eastAsia"/>
          <w:i/>
          <w:iCs/>
        </w:rPr>
        <w:t>azl</w:t>
      </w:r>
      <w:proofErr w:type="spellEnd"/>
      <w:r w:rsidR="00306C4E">
        <w:t>,</w:t>
      </w:r>
      <w:r>
        <w:t xml:space="preserve"> encodes </w:t>
      </w:r>
      <w:r w:rsidR="00A73283">
        <w:t>proteins that have the potential to bind to RNA</w:t>
      </w:r>
      <w:r w:rsidR="00306C4E">
        <w:t xml:space="preserve">. </w:t>
      </w:r>
      <w:r>
        <w:t>At the molecular level, DAZL binds to many mRNA transcripts in the 3’-untranslated region (UTR) and functions as a repressor or activator of translation</w:t>
      </w:r>
      <w:r w:rsidR="00306C4E">
        <w:t xml:space="preserve"> depending on physiological status</w:t>
      </w:r>
      <w:r>
        <w:t>. So far, the expression</w:t>
      </w:r>
      <w:r w:rsidR="00306C4E">
        <w:t>al</w:t>
      </w:r>
      <w:r>
        <w:t xml:space="preserve"> and function</w:t>
      </w:r>
      <w:r w:rsidR="00306C4E">
        <w:t>al characteristics</w:t>
      </w:r>
      <w:r>
        <w:t xml:space="preserve"> of</w:t>
      </w:r>
      <w:r w:rsidR="00A73283">
        <w:rPr>
          <w:rFonts w:eastAsiaTheme="minorEastAsia" w:hint="eastAsia"/>
        </w:rPr>
        <w:t xml:space="preserve"> the</w:t>
      </w:r>
      <w:r>
        <w:t xml:space="preserve"> </w:t>
      </w:r>
      <w:proofErr w:type="spellStart"/>
      <w:r>
        <w:rPr>
          <w:i/>
        </w:rPr>
        <w:t>Dazl</w:t>
      </w:r>
      <w:proofErr w:type="spellEnd"/>
      <w:r>
        <w:t xml:space="preserve"> gene are not known in </w:t>
      </w:r>
      <w:r w:rsidR="00A73283">
        <w:rPr>
          <w:rFonts w:eastAsiaTheme="minorEastAsia" w:hint="eastAsia"/>
        </w:rPr>
        <w:t xml:space="preserve">the </w:t>
      </w:r>
      <w:r>
        <w:t xml:space="preserve">pregnant uterus. </w:t>
      </w:r>
      <w:r w:rsidR="001B334B">
        <w:t>To evaluate th</w:t>
      </w:r>
      <w:r w:rsidR="00A73283">
        <w:rPr>
          <w:rFonts w:eastAsiaTheme="minorEastAsia" w:hint="eastAsia"/>
        </w:rPr>
        <w:t>es</w:t>
      </w:r>
      <w:r w:rsidR="001B334B">
        <w:t xml:space="preserve">e </w:t>
      </w:r>
      <w:r w:rsidR="00A73283">
        <w:t xml:space="preserve">phenomena, we employed Western blotting, immunohistochemistry, immunoprecipitation, and </w:t>
      </w:r>
      <w:proofErr w:type="spellStart"/>
      <w:r w:rsidR="00A73283">
        <w:t>multiomic</w:t>
      </w:r>
      <w:proofErr w:type="spellEnd"/>
      <w:r w:rsidR="001B334B">
        <w:t xml:space="preserve"> methodologies. </w:t>
      </w:r>
      <w:r w:rsidR="00306C4E">
        <w:t xml:space="preserve">The </w:t>
      </w:r>
      <w:r>
        <w:t>expression levels</w:t>
      </w:r>
      <w:r w:rsidR="00306C4E">
        <w:t xml:space="preserve"> of DAZL</w:t>
      </w:r>
      <w:r>
        <w:t xml:space="preserve"> were high on day 1 of pregnancy and decreased </w:t>
      </w:r>
      <w:r w:rsidR="00A73283">
        <w:t>thereafter, reaching a minimum on</w:t>
      </w:r>
      <w:r>
        <w:t xml:space="preserve"> day 4. Its expression was significantly increased from day 5. The expression was increased by E2 in </w:t>
      </w:r>
      <w:r w:rsidR="00A73283">
        <w:t>the ovariectomized mouse</w:t>
      </w:r>
      <w:r>
        <w:t xml:space="preserve"> model.</w:t>
      </w:r>
      <w:r w:rsidR="00745CBF">
        <w:t xml:space="preserve"> </w:t>
      </w:r>
      <w:r w:rsidR="00A73283">
        <w:t>Its</w:t>
      </w:r>
      <w:r w:rsidR="00306C4E">
        <w:t xml:space="preserve"> expression was completely suppressed by ICI 182,780. </w:t>
      </w:r>
      <w:r w:rsidR="00745CBF">
        <w:t>Converse</w:t>
      </w:r>
      <w:r>
        <w:t xml:space="preserve">ly, P4 exerted a suppressive effect on DAZL expression. DAZL protein was </w:t>
      </w:r>
      <w:r w:rsidR="00306C4E">
        <w:t xml:space="preserve">mainly </w:t>
      </w:r>
      <w:r>
        <w:t>localized to the decidual region. RNA-seq analysis of IP-DAZL revealed that DAZL binds to many RNAs during pregnancy</w:t>
      </w:r>
      <w:r w:rsidR="00A73283">
        <w:t>, including the gene products that are</w:t>
      </w:r>
      <w:r>
        <w:t xml:space="preserve"> involved in translation. Although further studies are needed to evaluate the expression mechanism and roles in pregnancy, the results </w:t>
      </w:r>
      <w:r w:rsidR="00A73283">
        <w:t>suggest that DAZL may be involved during decidualization</w:t>
      </w:r>
      <w:r w:rsidR="008E124F">
        <w:t xml:space="preserve"> and </w:t>
      </w:r>
      <w:r w:rsidR="00A73283">
        <w:t>is regulated by steroid hormones</w:t>
      </w:r>
      <w:r>
        <w:t>.</w:t>
      </w:r>
    </w:p>
    <w:p w14:paraId="075FF0F8" w14:textId="77777777" w:rsidR="00C015FF" w:rsidRDefault="005356FD">
      <w:pPr>
        <w:ind w:left="-6" w:right="0"/>
      </w:pPr>
      <w:r>
        <w:rPr>
          <w:b/>
        </w:rPr>
        <w:t xml:space="preserve">Acknowledgement: </w:t>
      </w:r>
      <w:r>
        <w:t xml:space="preserve">This research was supported by grants from the National Research Foundation of </w:t>
      </w:r>
    </w:p>
    <w:p w14:paraId="06AC003C" w14:textId="77777777" w:rsidR="00C015FF" w:rsidRDefault="005356FD">
      <w:pPr>
        <w:ind w:left="-6" w:right="0"/>
      </w:pPr>
      <w:r>
        <w:t>Korea</w:t>
      </w:r>
      <w:r w:rsidR="001B334B">
        <w:t xml:space="preserve"> </w:t>
      </w:r>
      <w:r>
        <w:t>(NRF) funded by a Korea government (RS-2023-NR077285, (Old) NRF-2023R1A2C3007223)</w:t>
      </w:r>
      <w:r>
        <w:rPr>
          <w:b/>
        </w:rPr>
        <w:t xml:space="preserve"> </w:t>
      </w:r>
      <w:r>
        <w:t xml:space="preserve"> </w:t>
      </w:r>
    </w:p>
    <w:sectPr w:rsidR="00C015FF">
      <w:pgSz w:w="11906" w:h="16838"/>
      <w:pgMar w:top="1440" w:right="1436" w:bottom="1440" w:left="143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5FF"/>
    <w:rsid w:val="00141667"/>
    <w:rsid w:val="001B334B"/>
    <w:rsid w:val="002502AF"/>
    <w:rsid w:val="00306C4E"/>
    <w:rsid w:val="005356FD"/>
    <w:rsid w:val="00745CBF"/>
    <w:rsid w:val="008E124F"/>
    <w:rsid w:val="009F1E4A"/>
    <w:rsid w:val="00A73283"/>
    <w:rsid w:val="00C01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AB6136"/>
  <w15:docId w15:val="{72477E05-12D6-40F8-B486-18B4A242A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8"/>
      <w:ind w:left="9" w:right="8" w:hanging="9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n.wikipedia.org/wiki/Implantation_(human_embryo)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314</Words>
  <Characters>1963</Characters>
  <Application>Microsoft Office Word</Application>
  <DocSecurity>0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전용필 (바이오생명공학과)</cp:lastModifiedBy>
  <cp:revision>6</cp:revision>
  <dcterms:created xsi:type="dcterms:W3CDTF">2025-10-10T07:06:00Z</dcterms:created>
  <dcterms:modified xsi:type="dcterms:W3CDTF">2025-10-10T09:12:00Z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0e74ffee-95f9-463d-b4ec-4c115d0b2263</vt:lpwstr>
  </property>
</Properties>
</file>