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E5083" w14:textId="296080BB" w:rsidR="00192BAE" w:rsidRDefault="008D5CB3" w:rsidP="00677116">
      <w:pPr>
        <w:spacing w:after="0"/>
        <w:rPr>
          <w:rFonts w:ascii="Arial" w:hAnsi="Arial" w:cs="Arial"/>
        </w:rPr>
      </w:pPr>
      <w:r>
        <w:rPr>
          <w:rFonts w:ascii="Arial" w:hAnsi="Arial" w:cs="Arial" w:hint="eastAsia"/>
        </w:rPr>
        <w:t xml:space="preserve">Identification of potential </w:t>
      </w:r>
      <w:r w:rsidR="00BF1253">
        <w:rPr>
          <w:rFonts w:ascii="Arial" w:hAnsi="Arial" w:cs="Arial" w:hint="eastAsia"/>
        </w:rPr>
        <w:t>s</w:t>
      </w:r>
      <w:r w:rsidR="00192BAE" w:rsidRPr="009834D0">
        <w:rPr>
          <w:rFonts w:ascii="Arial" w:hAnsi="Arial" w:cs="Arial"/>
        </w:rPr>
        <w:t xml:space="preserve">ignaling </w:t>
      </w:r>
      <w:r w:rsidR="004929B6">
        <w:rPr>
          <w:rFonts w:ascii="Arial" w:hAnsi="Arial" w:cs="Arial" w:hint="eastAsia"/>
        </w:rPr>
        <w:t>p</w:t>
      </w:r>
      <w:r w:rsidR="00192BAE" w:rsidRPr="009834D0">
        <w:rPr>
          <w:rFonts w:ascii="Arial" w:hAnsi="Arial" w:cs="Arial"/>
        </w:rPr>
        <w:t xml:space="preserve">athways </w:t>
      </w:r>
      <w:r w:rsidR="004929B6">
        <w:rPr>
          <w:rFonts w:ascii="Arial" w:hAnsi="Arial" w:cs="Arial" w:hint="eastAsia"/>
        </w:rPr>
        <w:t>r</w:t>
      </w:r>
      <w:r w:rsidR="00192BAE" w:rsidRPr="009834D0">
        <w:rPr>
          <w:rFonts w:ascii="Arial" w:hAnsi="Arial" w:cs="Arial"/>
        </w:rPr>
        <w:t xml:space="preserve">egulating </w:t>
      </w:r>
      <w:r w:rsidR="004929B6">
        <w:rPr>
          <w:rFonts w:ascii="Arial" w:hAnsi="Arial" w:cs="Arial" w:hint="eastAsia"/>
        </w:rPr>
        <w:t>o</w:t>
      </w:r>
      <w:r w:rsidR="00192BAE" w:rsidRPr="009834D0">
        <w:rPr>
          <w:rFonts w:ascii="Arial" w:hAnsi="Arial" w:cs="Arial"/>
        </w:rPr>
        <w:t xml:space="preserve">ocyte </w:t>
      </w:r>
      <w:r w:rsidR="004929B6">
        <w:rPr>
          <w:rFonts w:ascii="Arial" w:hAnsi="Arial" w:cs="Arial" w:hint="eastAsia"/>
        </w:rPr>
        <w:t>s</w:t>
      </w:r>
      <w:r w:rsidR="00192BAE" w:rsidRPr="009834D0">
        <w:rPr>
          <w:rFonts w:ascii="Arial" w:hAnsi="Arial" w:cs="Arial"/>
        </w:rPr>
        <w:t xml:space="preserve">urvival </w:t>
      </w:r>
      <w:r w:rsidR="004929B6">
        <w:rPr>
          <w:rFonts w:ascii="Arial" w:hAnsi="Arial" w:cs="Arial" w:hint="eastAsia"/>
        </w:rPr>
        <w:t>d</w:t>
      </w:r>
      <w:r w:rsidR="00192BAE" w:rsidRPr="009834D0">
        <w:rPr>
          <w:rFonts w:ascii="Arial" w:hAnsi="Arial" w:cs="Arial"/>
        </w:rPr>
        <w:t xml:space="preserve">uring the </w:t>
      </w:r>
      <w:r w:rsidR="004929B6">
        <w:rPr>
          <w:rFonts w:ascii="Arial" w:hAnsi="Arial" w:cs="Arial" w:hint="eastAsia"/>
        </w:rPr>
        <w:t>p</w:t>
      </w:r>
      <w:r w:rsidR="00192BAE" w:rsidRPr="009834D0">
        <w:rPr>
          <w:rFonts w:ascii="Arial" w:hAnsi="Arial" w:cs="Arial"/>
        </w:rPr>
        <w:t xml:space="preserve">eripubertal </w:t>
      </w:r>
      <w:r w:rsidR="004929B6">
        <w:rPr>
          <w:rFonts w:ascii="Arial" w:hAnsi="Arial" w:cs="Arial" w:hint="eastAsia"/>
        </w:rPr>
        <w:t>t</w:t>
      </w:r>
      <w:r w:rsidR="00192BAE" w:rsidRPr="009834D0">
        <w:rPr>
          <w:rFonts w:ascii="Arial" w:hAnsi="Arial" w:cs="Arial"/>
        </w:rPr>
        <w:t>ransition</w:t>
      </w:r>
    </w:p>
    <w:p w14:paraId="001316C5" w14:textId="77777777" w:rsidR="00214B7B" w:rsidRDefault="00214B7B" w:rsidP="00677116">
      <w:pPr>
        <w:spacing w:after="0"/>
        <w:rPr>
          <w:rFonts w:ascii="Arial" w:hAnsi="Arial" w:cs="Arial"/>
        </w:rPr>
      </w:pPr>
    </w:p>
    <w:p w14:paraId="1CD1C3F4" w14:textId="49923EB9" w:rsidR="003A11E2" w:rsidRPr="003A11E2" w:rsidRDefault="003A11E2" w:rsidP="00214B7B">
      <w:pPr>
        <w:rPr>
          <w:rFonts w:ascii="Arial" w:hAnsi="Arial" w:cs="Arial"/>
        </w:rPr>
      </w:pPr>
      <w:proofErr w:type="spellStart"/>
      <w:r w:rsidRPr="001D5FCA">
        <w:rPr>
          <w:rFonts w:ascii="Arial" w:hAnsi="Arial" w:cs="Arial"/>
        </w:rPr>
        <w:t>Eunbin</w:t>
      </w:r>
      <w:proofErr w:type="spellEnd"/>
      <w:r w:rsidRPr="001D5FCA">
        <w:rPr>
          <w:rFonts w:ascii="Arial" w:hAnsi="Arial" w:cs="Arial"/>
        </w:rPr>
        <w:t xml:space="preserve"> Shin, </w:t>
      </w:r>
      <w:proofErr w:type="spellStart"/>
      <w:r>
        <w:rPr>
          <w:rFonts w:ascii="Arial" w:hAnsi="Arial" w:cs="Arial" w:hint="eastAsia"/>
        </w:rPr>
        <w:t>Surim</w:t>
      </w:r>
      <w:proofErr w:type="spellEnd"/>
      <w:r>
        <w:rPr>
          <w:rFonts w:ascii="Arial" w:hAnsi="Arial" w:cs="Arial" w:hint="eastAsia"/>
        </w:rPr>
        <w:t xml:space="preserve"> Oh, </w:t>
      </w:r>
      <w:proofErr w:type="spellStart"/>
      <w:r>
        <w:rPr>
          <w:rFonts w:ascii="Arial" w:hAnsi="Arial" w:cs="Arial" w:hint="eastAsia"/>
        </w:rPr>
        <w:t>Minjin</w:t>
      </w:r>
      <w:proofErr w:type="spellEnd"/>
      <w:r>
        <w:rPr>
          <w:rFonts w:ascii="Arial" w:hAnsi="Arial" w:cs="Arial" w:hint="eastAsia"/>
        </w:rPr>
        <w:t xml:space="preserve"> Lee, </w:t>
      </w:r>
      <w:proofErr w:type="spellStart"/>
      <w:r w:rsidRPr="001D5FCA">
        <w:rPr>
          <w:rFonts w:ascii="Arial" w:hAnsi="Arial" w:cs="Arial"/>
        </w:rPr>
        <w:t>Hyunjung</w:t>
      </w:r>
      <w:proofErr w:type="spellEnd"/>
      <w:r w:rsidRPr="001D5FCA">
        <w:rPr>
          <w:rFonts w:ascii="Arial" w:hAnsi="Arial" w:cs="Arial"/>
        </w:rPr>
        <w:t xml:space="preserve"> Jade Lim</w:t>
      </w:r>
    </w:p>
    <w:p w14:paraId="15E72C9B" w14:textId="62A2DBA9" w:rsidR="00214B7B" w:rsidRDefault="00214B7B" w:rsidP="00214B7B">
      <w:pPr>
        <w:rPr>
          <w:rFonts w:ascii="Arial" w:hAnsi="Arial" w:cs="Arial"/>
        </w:rPr>
      </w:pPr>
      <w:r w:rsidRPr="001D5FCA">
        <w:rPr>
          <w:rFonts w:ascii="Arial" w:hAnsi="Arial" w:cs="Arial"/>
        </w:rPr>
        <w:t xml:space="preserve">Department of Veterinary Medicine, </w:t>
      </w:r>
      <w:proofErr w:type="spellStart"/>
      <w:r w:rsidRPr="001D5FCA">
        <w:rPr>
          <w:rFonts w:ascii="Arial" w:hAnsi="Arial" w:cs="Arial"/>
        </w:rPr>
        <w:t>Konkuk</w:t>
      </w:r>
      <w:proofErr w:type="spellEnd"/>
      <w:r w:rsidRPr="001D5FCA">
        <w:rPr>
          <w:rFonts w:ascii="Arial" w:hAnsi="Arial" w:cs="Arial"/>
        </w:rPr>
        <w:t xml:space="preserve"> University, Seoul 05029, South Korea</w:t>
      </w:r>
    </w:p>
    <w:p w14:paraId="2A8357D4" w14:textId="77777777" w:rsidR="002B0553" w:rsidRPr="009834D0" w:rsidRDefault="002B0553" w:rsidP="00677116">
      <w:pPr>
        <w:spacing w:after="0"/>
        <w:rPr>
          <w:rFonts w:ascii="Arial" w:hAnsi="Arial" w:cs="Arial"/>
        </w:rPr>
      </w:pPr>
    </w:p>
    <w:p w14:paraId="30688E1A" w14:textId="7FEA6612" w:rsidR="00D62AC3" w:rsidRPr="00806CC0" w:rsidRDefault="00D62AC3" w:rsidP="00F8124A">
      <w:pPr>
        <w:rPr>
          <w:rFonts w:ascii="Arial" w:hAnsi="Arial" w:cs="Arial" w:hint="eastAsia"/>
          <w:szCs w:val="20"/>
        </w:rPr>
      </w:pPr>
      <w:r w:rsidRPr="00D62AC3">
        <w:rPr>
          <w:rFonts w:ascii="Arial" w:hAnsi="Arial" w:cs="Arial"/>
        </w:rPr>
        <w:t xml:space="preserve">We previously demonstrated that oocyte-specific deletion of </w:t>
      </w:r>
      <w:r w:rsidRPr="00D62AC3">
        <w:rPr>
          <w:rFonts w:ascii="Arial" w:hAnsi="Arial" w:cs="Arial"/>
          <w:i/>
          <w:iCs/>
        </w:rPr>
        <w:t>tumor susceptibility gene 101</w:t>
      </w:r>
      <w:r w:rsidRPr="00D62AC3">
        <w:rPr>
          <w:rFonts w:ascii="Arial" w:hAnsi="Arial" w:cs="Arial"/>
        </w:rPr>
        <w:t xml:space="preserve"> (</w:t>
      </w:r>
      <w:r w:rsidRPr="00D62AC3">
        <w:rPr>
          <w:rFonts w:ascii="Arial" w:hAnsi="Arial" w:cs="Arial"/>
          <w:i/>
          <w:iCs/>
        </w:rPr>
        <w:t>Tsg101</w:t>
      </w:r>
      <w:r w:rsidRPr="00D62AC3">
        <w:rPr>
          <w:rFonts w:ascii="Arial" w:hAnsi="Arial" w:cs="Arial"/>
        </w:rPr>
        <w:t xml:space="preserve">), a component of the endosomal sorting complex required for transport, results in markedly different outcomes of oocyte </w:t>
      </w:r>
      <w:r w:rsidR="00482D2C">
        <w:rPr>
          <w:rFonts w:ascii="Arial" w:hAnsi="Arial" w:cs="Arial" w:hint="eastAsia"/>
        </w:rPr>
        <w:t>survival</w:t>
      </w:r>
      <w:r w:rsidRPr="00D62AC3">
        <w:rPr>
          <w:rFonts w:ascii="Arial" w:hAnsi="Arial" w:cs="Arial"/>
        </w:rPr>
        <w:t xml:space="preserve"> depending on </w:t>
      </w:r>
      <w:r w:rsidR="00482D2C">
        <w:rPr>
          <w:rFonts w:ascii="Arial" w:hAnsi="Arial" w:cs="Arial" w:hint="eastAsia"/>
        </w:rPr>
        <w:t>age</w:t>
      </w:r>
      <w:r w:rsidRPr="00D62AC3">
        <w:rPr>
          <w:rFonts w:ascii="Arial" w:hAnsi="Arial" w:cs="Arial"/>
        </w:rPr>
        <w:t xml:space="preserve">. </w:t>
      </w:r>
      <w:r w:rsidRPr="00D62AC3">
        <w:rPr>
          <w:rFonts w:ascii="Arial" w:hAnsi="Arial" w:cs="Arial"/>
          <w:i/>
          <w:iCs/>
        </w:rPr>
        <w:t>Tsg101</w:t>
      </w:r>
      <w:r w:rsidRPr="00D62AC3">
        <w:rPr>
          <w:rFonts w:ascii="Arial" w:hAnsi="Arial" w:cs="Arial"/>
        </w:rPr>
        <w:t xml:space="preserve">-deficient oocytes </w:t>
      </w:r>
      <w:r w:rsidR="00482D2C">
        <w:rPr>
          <w:rFonts w:ascii="Arial" w:hAnsi="Arial" w:cs="Arial" w:hint="eastAsia"/>
        </w:rPr>
        <w:t>showed</w:t>
      </w:r>
      <w:r w:rsidRPr="00D62AC3">
        <w:rPr>
          <w:rFonts w:ascii="Arial" w:hAnsi="Arial" w:cs="Arial"/>
        </w:rPr>
        <w:t xml:space="preserve"> a significant difference in survival between prepubertal and </w:t>
      </w:r>
      <w:proofErr w:type="spellStart"/>
      <w:r w:rsidRPr="00D62AC3">
        <w:rPr>
          <w:rFonts w:ascii="Arial" w:hAnsi="Arial" w:cs="Arial"/>
        </w:rPr>
        <w:t>postpubertal</w:t>
      </w:r>
      <w:proofErr w:type="spellEnd"/>
      <w:r w:rsidRPr="00D62AC3">
        <w:rPr>
          <w:rFonts w:ascii="Arial" w:hAnsi="Arial" w:cs="Arial"/>
        </w:rPr>
        <w:t xml:space="preserve"> mice. Based on these findings, we hypothesized that signaling pathways activated during the peripubertal transition regulate oocyte competence by modulating cell death. Granulosa cells (GCs) isolated from prepubertal (3-week-old) and </w:t>
      </w:r>
      <w:proofErr w:type="spellStart"/>
      <w:r w:rsidRPr="00D62AC3">
        <w:rPr>
          <w:rFonts w:ascii="Arial" w:hAnsi="Arial" w:cs="Arial"/>
        </w:rPr>
        <w:t>postpubertal</w:t>
      </w:r>
      <w:proofErr w:type="spellEnd"/>
      <w:r w:rsidRPr="00D62AC3">
        <w:rPr>
          <w:rFonts w:ascii="Arial" w:hAnsi="Arial" w:cs="Arial"/>
        </w:rPr>
        <w:t xml:space="preserve"> (6-week-old) mice were analyzed using a Proteome Profiler Mouse XL Cytokine Array to identify candidate ligand–receptor interactions.</w:t>
      </w:r>
      <w:r w:rsidR="00482D2C">
        <w:rPr>
          <w:rFonts w:ascii="Arial" w:hAnsi="Arial" w:cs="Arial" w:hint="eastAsia"/>
        </w:rPr>
        <w:t xml:space="preserve"> C</w:t>
      </w:r>
      <w:r w:rsidRPr="00D62AC3">
        <w:rPr>
          <w:rFonts w:ascii="Arial" w:hAnsi="Arial" w:cs="Arial"/>
        </w:rPr>
        <w:t>hemokine (C-C motif) ligand 6, interleukin-1α, C-X-C motif chemokine ligand 10 (C</w:t>
      </w:r>
      <w:r>
        <w:rPr>
          <w:rFonts w:ascii="Arial" w:hAnsi="Arial" w:cs="Arial" w:hint="eastAsia"/>
        </w:rPr>
        <w:t>XCL</w:t>
      </w:r>
      <w:r w:rsidRPr="00D62AC3">
        <w:rPr>
          <w:rFonts w:ascii="Arial" w:hAnsi="Arial" w:cs="Arial"/>
        </w:rPr>
        <w:t>10), and angiopoietin-2 (A</w:t>
      </w:r>
      <w:r>
        <w:rPr>
          <w:rFonts w:ascii="Arial" w:hAnsi="Arial" w:cs="Arial" w:hint="eastAsia"/>
        </w:rPr>
        <w:t>NGPT</w:t>
      </w:r>
      <w:r w:rsidRPr="00D62AC3">
        <w:rPr>
          <w:rFonts w:ascii="Arial" w:hAnsi="Arial" w:cs="Arial"/>
        </w:rPr>
        <w:t>2) were</w:t>
      </w:r>
      <w:r w:rsidR="00482D2C" w:rsidRPr="00D62AC3">
        <w:rPr>
          <w:rFonts w:ascii="Arial" w:hAnsi="Arial" w:cs="Arial"/>
        </w:rPr>
        <w:t xml:space="preserve"> elevated in </w:t>
      </w:r>
      <w:proofErr w:type="spellStart"/>
      <w:r w:rsidR="00482D2C" w:rsidRPr="00D62AC3">
        <w:rPr>
          <w:rFonts w:ascii="Arial" w:hAnsi="Arial" w:cs="Arial"/>
        </w:rPr>
        <w:t>postpubertal</w:t>
      </w:r>
      <w:proofErr w:type="spellEnd"/>
      <w:r w:rsidR="00482D2C" w:rsidRPr="00D62AC3">
        <w:rPr>
          <w:rFonts w:ascii="Arial" w:hAnsi="Arial" w:cs="Arial"/>
        </w:rPr>
        <w:t xml:space="preserve"> GCs</w:t>
      </w:r>
      <w:r w:rsidRPr="00D62AC3">
        <w:rPr>
          <w:rFonts w:ascii="Arial" w:hAnsi="Arial" w:cs="Arial"/>
        </w:rPr>
        <w:t>.</w:t>
      </w:r>
      <w:r w:rsidRPr="00D62AC3">
        <w:t xml:space="preserve"> </w:t>
      </w:r>
      <w:r w:rsidR="00482D2C">
        <w:rPr>
          <w:rFonts w:ascii="Arial" w:hAnsi="Arial" w:cs="Arial" w:hint="eastAsia"/>
        </w:rPr>
        <w:t>They w</w:t>
      </w:r>
      <w:r w:rsidRPr="00D62AC3">
        <w:rPr>
          <w:rFonts w:ascii="Arial" w:hAnsi="Arial" w:cs="Arial"/>
        </w:rPr>
        <w:t xml:space="preserve">ere further analyzed through cross-referencing with Gene Expression Omnibus datasets derived from whole ovaries, GCs, oocytes, and cumulus cells. Selected candidates were validated by quantitative PCR, RT-PCR, and immunofluorescence staining. Our analysis identified several </w:t>
      </w:r>
      <w:proofErr w:type="gramStart"/>
      <w:r w:rsidRPr="00D62AC3">
        <w:rPr>
          <w:rFonts w:ascii="Arial" w:hAnsi="Arial" w:cs="Arial"/>
        </w:rPr>
        <w:t>ligand</w:t>
      </w:r>
      <w:proofErr w:type="gramEnd"/>
      <w:r w:rsidRPr="00D62AC3">
        <w:rPr>
          <w:rFonts w:ascii="Arial" w:hAnsi="Arial" w:cs="Arial"/>
        </w:rPr>
        <w:t>–receptor pairs showing increased expression after puberty. Among these,</w:t>
      </w:r>
      <w:r>
        <w:rPr>
          <w:rFonts w:ascii="Arial" w:hAnsi="Arial" w:cs="Arial" w:hint="eastAsia"/>
        </w:rPr>
        <w:t xml:space="preserve"> ANGPT2</w:t>
      </w:r>
      <w:r w:rsidRPr="00D62AC3">
        <w:rPr>
          <w:rFonts w:ascii="Arial" w:hAnsi="Arial" w:cs="Arial"/>
        </w:rPr>
        <w:t xml:space="preserve"> and its receptor TEK receptor tyrosine kinase 2, as well as</w:t>
      </w:r>
      <w:r>
        <w:rPr>
          <w:rFonts w:ascii="Arial" w:hAnsi="Arial" w:cs="Arial" w:hint="eastAsia"/>
        </w:rPr>
        <w:t xml:space="preserve"> </w:t>
      </w:r>
      <w:r w:rsidRPr="00D62AC3">
        <w:rPr>
          <w:rFonts w:ascii="Arial" w:hAnsi="Arial" w:cs="Arial"/>
        </w:rPr>
        <w:t xml:space="preserve">CXCL10 and its receptor C-X-C chemokine receptor type 3 (CXCR3), were prominently upregulated in 6-week-old ovaries. Notably, </w:t>
      </w:r>
      <w:r w:rsidRPr="00D62AC3">
        <w:rPr>
          <w:rFonts w:ascii="Arial" w:hAnsi="Arial" w:cs="Arial"/>
          <w:i/>
          <w:iCs/>
        </w:rPr>
        <w:t xml:space="preserve">Cxcl10 </w:t>
      </w:r>
      <w:r w:rsidRPr="00D62AC3">
        <w:rPr>
          <w:rFonts w:ascii="Arial" w:hAnsi="Arial" w:cs="Arial"/>
        </w:rPr>
        <w:t xml:space="preserve">expression was restricted to cumulus cells, whereas </w:t>
      </w:r>
      <w:r w:rsidRPr="00D62AC3">
        <w:rPr>
          <w:rFonts w:ascii="Arial" w:hAnsi="Arial" w:cs="Arial"/>
          <w:i/>
          <w:iCs/>
        </w:rPr>
        <w:t>Cxcr3</w:t>
      </w:r>
      <w:r w:rsidRPr="00D62AC3">
        <w:rPr>
          <w:rFonts w:ascii="Arial" w:hAnsi="Arial" w:cs="Arial"/>
        </w:rPr>
        <w:t xml:space="preserve"> was expressed only in oocytes from </w:t>
      </w:r>
      <w:proofErr w:type="spellStart"/>
      <w:r w:rsidRPr="00D62AC3">
        <w:rPr>
          <w:rFonts w:ascii="Arial" w:hAnsi="Arial" w:cs="Arial"/>
        </w:rPr>
        <w:t>postpubertal</w:t>
      </w:r>
      <w:proofErr w:type="spellEnd"/>
      <w:r w:rsidRPr="00D62AC3">
        <w:rPr>
          <w:rFonts w:ascii="Arial" w:hAnsi="Arial" w:cs="Arial"/>
        </w:rPr>
        <w:t xml:space="preserve"> mice, indicating puberty-dependent activation of this signaling axis.</w:t>
      </w:r>
      <w:r>
        <w:rPr>
          <w:rFonts w:ascii="Arial" w:hAnsi="Arial" w:cs="Arial" w:hint="eastAsia"/>
        </w:rPr>
        <w:t xml:space="preserve"> </w:t>
      </w:r>
      <w:r w:rsidRPr="00D62AC3">
        <w:rPr>
          <w:rFonts w:ascii="Arial" w:hAnsi="Arial" w:cs="Arial"/>
        </w:rPr>
        <w:t>Overall, these findings suggest that specific ligand–receptor interactions, including the CXCL10–CXCR3 signaling axis, are activated during the peripubertal transition and may regulate oocyte survival and quality. Building on these findings, further investigation will be directed toward defining how the CXCL10–CXCR3 signaling axis influences oocyte survival and developmental competence.</w:t>
      </w:r>
      <w:r w:rsidR="00147A87">
        <w:rPr>
          <w:rFonts w:ascii="Arial" w:hAnsi="Arial" w:cs="Arial" w:hint="eastAsia"/>
          <w:szCs w:val="20"/>
        </w:rPr>
        <w:t xml:space="preserve"> </w:t>
      </w:r>
      <w:r w:rsidR="00F8124A" w:rsidRPr="00F8124A">
        <w:rPr>
          <w:rFonts w:ascii="Arial" w:hAnsi="Arial" w:cs="Arial"/>
          <w:szCs w:val="20"/>
        </w:rPr>
        <w:t>This work was supported by the National Research Foundation of Korea (NRF) grant funded by the Korea government (MSIT). (RS-2024-00341999).</w:t>
      </w:r>
    </w:p>
    <w:p w14:paraId="08E4CBFC" w14:textId="77777777" w:rsidR="00E50033" w:rsidRPr="00147A87" w:rsidRDefault="00E50033" w:rsidP="00E50033">
      <w:pPr>
        <w:spacing w:after="0"/>
        <w:rPr>
          <w:rFonts w:ascii="Arial" w:hAnsi="Arial" w:cs="Arial"/>
        </w:rPr>
      </w:pPr>
    </w:p>
    <w:p w14:paraId="05BA6142" w14:textId="55157CD5" w:rsidR="005A0DA2" w:rsidRPr="009834D0" w:rsidRDefault="00694CAB" w:rsidP="003D630E">
      <w:pPr>
        <w:rPr>
          <w:rFonts w:ascii="Arial" w:hAnsi="Arial" w:cs="Arial"/>
        </w:rPr>
      </w:pPr>
      <w:r>
        <w:rPr>
          <w:rFonts w:ascii="Arial" w:hAnsi="Arial" w:cs="Arial" w:hint="eastAsia"/>
        </w:rPr>
        <w:t>단어</w:t>
      </w:r>
      <w:r>
        <w:rPr>
          <w:rFonts w:ascii="Arial" w:hAnsi="Arial" w:cs="Arial" w:hint="eastAsia"/>
        </w:rPr>
        <w:t xml:space="preserve"> </w:t>
      </w:r>
      <w:r>
        <w:rPr>
          <w:rFonts w:ascii="Arial" w:hAnsi="Arial" w:cs="Arial" w:hint="eastAsia"/>
        </w:rPr>
        <w:t>수</w:t>
      </w:r>
      <w:r>
        <w:rPr>
          <w:rFonts w:ascii="Arial" w:hAnsi="Arial" w:cs="Arial" w:hint="eastAsia"/>
        </w:rPr>
        <w:t xml:space="preserve">: </w:t>
      </w:r>
      <w:r w:rsidR="00E50033">
        <w:rPr>
          <w:rFonts w:ascii="Arial" w:hAnsi="Arial" w:cs="Arial" w:hint="eastAsia"/>
        </w:rPr>
        <w:t>2</w:t>
      </w:r>
      <w:r w:rsidR="006C39B3">
        <w:rPr>
          <w:rFonts w:ascii="Arial" w:hAnsi="Arial" w:cs="Arial" w:hint="eastAsia"/>
        </w:rPr>
        <w:t>7</w:t>
      </w:r>
      <w:r w:rsidR="00613742">
        <w:rPr>
          <w:rFonts w:ascii="Arial" w:hAnsi="Arial" w:cs="Arial" w:hint="eastAsia"/>
        </w:rPr>
        <w:t>2</w:t>
      </w:r>
    </w:p>
    <w:sectPr w:rsidR="005A0DA2" w:rsidRPr="009834D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F0552" w14:textId="77777777" w:rsidR="00FE5A51" w:rsidRDefault="00FE5A51" w:rsidP="00455589">
      <w:pPr>
        <w:spacing w:after="0"/>
      </w:pPr>
      <w:r>
        <w:separator/>
      </w:r>
    </w:p>
  </w:endnote>
  <w:endnote w:type="continuationSeparator" w:id="0">
    <w:p w14:paraId="4846BD97" w14:textId="77777777" w:rsidR="00FE5A51" w:rsidRDefault="00FE5A51" w:rsidP="004555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03167" w14:textId="77777777" w:rsidR="00FE5A51" w:rsidRDefault="00FE5A51" w:rsidP="00455589">
      <w:pPr>
        <w:spacing w:after="0"/>
      </w:pPr>
      <w:r>
        <w:separator/>
      </w:r>
    </w:p>
  </w:footnote>
  <w:footnote w:type="continuationSeparator" w:id="0">
    <w:p w14:paraId="6799AA39" w14:textId="77777777" w:rsidR="00FE5A51" w:rsidRDefault="00FE5A51" w:rsidP="0045558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722FB"/>
    <w:multiLevelType w:val="hybridMultilevel"/>
    <w:tmpl w:val="6728E6D4"/>
    <w:lvl w:ilvl="0" w:tplc="7C347642">
      <w:numFmt w:val="bullet"/>
      <w:lvlText w:val="-"/>
      <w:lvlJc w:val="left"/>
      <w:pPr>
        <w:ind w:left="800" w:hanging="360"/>
      </w:pPr>
      <w:rPr>
        <w:rFonts w:ascii="Arial" w:eastAsiaTheme="minorEastAsia" w:hAnsi="Arial" w:cs="Arial"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044404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05F"/>
    <w:rsid w:val="00006427"/>
    <w:rsid w:val="00016508"/>
    <w:rsid w:val="00052C9D"/>
    <w:rsid w:val="000B1C70"/>
    <w:rsid w:val="000E3200"/>
    <w:rsid w:val="00136F96"/>
    <w:rsid w:val="00145CD0"/>
    <w:rsid w:val="00147A87"/>
    <w:rsid w:val="00163F59"/>
    <w:rsid w:val="00182D1E"/>
    <w:rsid w:val="00192BAE"/>
    <w:rsid w:val="001A652B"/>
    <w:rsid w:val="001C2BF3"/>
    <w:rsid w:val="001C71A7"/>
    <w:rsid w:val="001D712E"/>
    <w:rsid w:val="00214B7B"/>
    <w:rsid w:val="002406F9"/>
    <w:rsid w:val="002633DC"/>
    <w:rsid w:val="00296500"/>
    <w:rsid w:val="002A736D"/>
    <w:rsid w:val="002B0553"/>
    <w:rsid w:val="002C7BB3"/>
    <w:rsid w:val="00315260"/>
    <w:rsid w:val="00331DF2"/>
    <w:rsid w:val="0035667E"/>
    <w:rsid w:val="003A11E2"/>
    <w:rsid w:val="003D630E"/>
    <w:rsid w:val="00430136"/>
    <w:rsid w:val="00455589"/>
    <w:rsid w:val="004640C6"/>
    <w:rsid w:val="00482D2C"/>
    <w:rsid w:val="0048693F"/>
    <w:rsid w:val="004929B6"/>
    <w:rsid w:val="004B0A5D"/>
    <w:rsid w:val="004E4FFE"/>
    <w:rsid w:val="004E6229"/>
    <w:rsid w:val="00541F85"/>
    <w:rsid w:val="00557F59"/>
    <w:rsid w:val="005A0DA2"/>
    <w:rsid w:val="005A6201"/>
    <w:rsid w:val="005A776B"/>
    <w:rsid w:val="005E38B9"/>
    <w:rsid w:val="005F0251"/>
    <w:rsid w:val="005F116F"/>
    <w:rsid w:val="00613742"/>
    <w:rsid w:val="00621CF0"/>
    <w:rsid w:val="00677116"/>
    <w:rsid w:val="00694CAB"/>
    <w:rsid w:val="006A39BA"/>
    <w:rsid w:val="006C39B3"/>
    <w:rsid w:val="00772E28"/>
    <w:rsid w:val="007D7CD7"/>
    <w:rsid w:val="00806CC0"/>
    <w:rsid w:val="00835E6C"/>
    <w:rsid w:val="008D5CB3"/>
    <w:rsid w:val="008E2344"/>
    <w:rsid w:val="008E3116"/>
    <w:rsid w:val="0090546E"/>
    <w:rsid w:val="0092081A"/>
    <w:rsid w:val="0092578A"/>
    <w:rsid w:val="00953414"/>
    <w:rsid w:val="009771DD"/>
    <w:rsid w:val="009834D0"/>
    <w:rsid w:val="00986FB6"/>
    <w:rsid w:val="00A02CBA"/>
    <w:rsid w:val="00A30C8D"/>
    <w:rsid w:val="00A65860"/>
    <w:rsid w:val="00AB0E5A"/>
    <w:rsid w:val="00B32317"/>
    <w:rsid w:val="00B3742D"/>
    <w:rsid w:val="00B56A48"/>
    <w:rsid w:val="00BB3C83"/>
    <w:rsid w:val="00BF1253"/>
    <w:rsid w:val="00C135DE"/>
    <w:rsid w:val="00C174EA"/>
    <w:rsid w:val="00C84900"/>
    <w:rsid w:val="00CA405F"/>
    <w:rsid w:val="00D1566C"/>
    <w:rsid w:val="00D15D29"/>
    <w:rsid w:val="00D40A51"/>
    <w:rsid w:val="00D62AC3"/>
    <w:rsid w:val="00D67B1B"/>
    <w:rsid w:val="00E50033"/>
    <w:rsid w:val="00E5548B"/>
    <w:rsid w:val="00E94B78"/>
    <w:rsid w:val="00EE013C"/>
    <w:rsid w:val="00EE0FD6"/>
    <w:rsid w:val="00EE5EDD"/>
    <w:rsid w:val="00F04A66"/>
    <w:rsid w:val="00F8124A"/>
    <w:rsid w:val="00FA5135"/>
    <w:rsid w:val="00FC03AC"/>
    <w:rsid w:val="00FD68B8"/>
    <w:rsid w:val="00FE5A5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C9417"/>
  <w15:chartTrackingRefBased/>
  <w15:docId w15:val="{34EAD1E7-8240-41A8-B8AE-BE5A928F2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A405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CA405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CA405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CA405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CA405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CA405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CA405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CA405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CA405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A405F"/>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CA405F"/>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CA405F"/>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CA405F"/>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CA405F"/>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CA405F"/>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CA405F"/>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CA405F"/>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CA405F"/>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CA405F"/>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A405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A405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CA405F"/>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CA405F"/>
    <w:pPr>
      <w:spacing w:before="160"/>
      <w:jc w:val="center"/>
    </w:pPr>
    <w:rPr>
      <w:i/>
      <w:iCs/>
      <w:color w:val="404040" w:themeColor="text1" w:themeTint="BF"/>
    </w:rPr>
  </w:style>
  <w:style w:type="character" w:customStyle="1" w:styleId="Char1">
    <w:name w:val="인용 Char"/>
    <w:basedOn w:val="a0"/>
    <w:link w:val="a5"/>
    <w:uiPriority w:val="29"/>
    <w:rsid w:val="00CA405F"/>
    <w:rPr>
      <w:i/>
      <w:iCs/>
      <w:color w:val="404040" w:themeColor="text1" w:themeTint="BF"/>
    </w:rPr>
  </w:style>
  <w:style w:type="paragraph" w:styleId="a6">
    <w:name w:val="List Paragraph"/>
    <w:basedOn w:val="a"/>
    <w:uiPriority w:val="34"/>
    <w:qFormat/>
    <w:rsid w:val="00CA405F"/>
    <w:pPr>
      <w:ind w:left="720"/>
      <w:contextualSpacing/>
    </w:pPr>
  </w:style>
  <w:style w:type="character" w:styleId="a7">
    <w:name w:val="Intense Emphasis"/>
    <w:basedOn w:val="a0"/>
    <w:uiPriority w:val="21"/>
    <w:qFormat/>
    <w:rsid w:val="00CA405F"/>
    <w:rPr>
      <w:i/>
      <w:iCs/>
      <w:color w:val="0F4761" w:themeColor="accent1" w:themeShade="BF"/>
    </w:rPr>
  </w:style>
  <w:style w:type="paragraph" w:styleId="a8">
    <w:name w:val="Intense Quote"/>
    <w:basedOn w:val="a"/>
    <w:next w:val="a"/>
    <w:link w:val="Char2"/>
    <w:uiPriority w:val="30"/>
    <w:qFormat/>
    <w:rsid w:val="00CA4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A405F"/>
    <w:rPr>
      <w:i/>
      <w:iCs/>
      <w:color w:val="0F4761" w:themeColor="accent1" w:themeShade="BF"/>
    </w:rPr>
  </w:style>
  <w:style w:type="character" w:styleId="a9">
    <w:name w:val="Intense Reference"/>
    <w:basedOn w:val="a0"/>
    <w:uiPriority w:val="32"/>
    <w:qFormat/>
    <w:rsid w:val="00CA405F"/>
    <w:rPr>
      <w:b/>
      <w:bCs/>
      <w:smallCaps/>
      <w:color w:val="0F4761" w:themeColor="accent1" w:themeShade="BF"/>
      <w:spacing w:val="5"/>
    </w:rPr>
  </w:style>
  <w:style w:type="paragraph" w:styleId="aa">
    <w:name w:val="Normal (Web)"/>
    <w:basedOn w:val="a"/>
    <w:uiPriority w:val="99"/>
    <w:semiHidden/>
    <w:unhideWhenUsed/>
    <w:rsid w:val="00953414"/>
    <w:rPr>
      <w:rFonts w:ascii="Times New Roman" w:hAnsi="Times New Roman" w:cs="Times New Roman"/>
      <w:sz w:val="24"/>
    </w:rPr>
  </w:style>
  <w:style w:type="paragraph" w:styleId="ab">
    <w:name w:val="Revision"/>
    <w:hidden/>
    <w:uiPriority w:val="99"/>
    <w:semiHidden/>
    <w:rsid w:val="00052C9D"/>
    <w:pPr>
      <w:spacing w:after="0"/>
    </w:pPr>
  </w:style>
  <w:style w:type="character" w:styleId="ac">
    <w:name w:val="annotation reference"/>
    <w:basedOn w:val="a0"/>
    <w:uiPriority w:val="99"/>
    <w:semiHidden/>
    <w:unhideWhenUsed/>
    <w:rsid w:val="006A39BA"/>
    <w:rPr>
      <w:sz w:val="18"/>
      <w:szCs w:val="18"/>
    </w:rPr>
  </w:style>
  <w:style w:type="paragraph" w:styleId="ad">
    <w:name w:val="annotation text"/>
    <w:basedOn w:val="a"/>
    <w:link w:val="Char3"/>
    <w:uiPriority w:val="99"/>
    <w:unhideWhenUsed/>
    <w:rsid w:val="006A39BA"/>
  </w:style>
  <w:style w:type="character" w:customStyle="1" w:styleId="Char3">
    <w:name w:val="메모 텍스트 Char"/>
    <w:basedOn w:val="a0"/>
    <w:link w:val="ad"/>
    <w:uiPriority w:val="99"/>
    <w:rsid w:val="006A39BA"/>
  </w:style>
  <w:style w:type="paragraph" w:styleId="ae">
    <w:name w:val="annotation subject"/>
    <w:basedOn w:val="ad"/>
    <w:next w:val="ad"/>
    <w:link w:val="Char4"/>
    <w:uiPriority w:val="99"/>
    <w:semiHidden/>
    <w:unhideWhenUsed/>
    <w:rsid w:val="006A39BA"/>
    <w:rPr>
      <w:b/>
      <w:bCs/>
    </w:rPr>
  </w:style>
  <w:style w:type="character" w:customStyle="1" w:styleId="Char4">
    <w:name w:val="메모 주제 Char"/>
    <w:basedOn w:val="Char3"/>
    <w:link w:val="ae"/>
    <w:uiPriority w:val="99"/>
    <w:semiHidden/>
    <w:rsid w:val="006A39BA"/>
    <w:rPr>
      <w:b/>
      <w:bCs/>
    </w:rPr>
  </w:style>
  <w:style w:type="paragraph" w:styleId="af">
    <w:name w:val="header"/>
    <w:basedOn w:val="a"/>
    <w:link w:val="Char5"/>
    <w:uiPriority w:val="99"/>
    <w:unhideWhenUsed/>
    <w:rsid w:val="00455589"/>
    <w:pPr>
      <w:tabs>
        <w:tab w:val="center" w:pos="4513"/>
        <w:tab w:val="right" w:pos="9026"/>
      </w:tabs>
      <w:snapToGrid w:val="0"/>
    </w:pPr>
  </w:style>
  <w:style w:type="character" w:customStyle="1" w:styleId="Char5">
    <w:name w:val="머리글 Char"/>
    <w:basedOn w:val="a0"/>
    <w:link w:val="af"/>
    <w:uiPriority w:val="99"/>
    <w:rsid w:val="00455589"/>
  </w:style>
  <w:style w:type="paragraph" w:styleId="af0">
    <w:name w:val="footer"/>
    <w:basedOn w:val="a"/>
    <w:link w:val="Char6"/>
    <w:uiPriority w:val="99"/>
    <w:unhideWhenUsed/>
    <w:rsid w:val="00455589"/>
    <w:pPr>
      <w:tabs>
        <w:tab w:val="center" w:pos="4513"/>
        <w:tab w:val="right" w:pos="9026"/>
      </w:tabs>
      <w:snapToGrid w:val="0"/>
    </w:pPr>
  </w:style>
  <w:style w:type="character" w:customStyle="1" w:styleId="Char6">
    <w:name w:val="바닥글 Char"/>
    <w:basedOn w:val="a0"/>
    <w:link w:val="af0"/>
    <w:uiPriority w:val="99"/>
    <w:rsid w:val="00455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F5D75-6637-4784-A1ED-7D48A0D23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358</Words>
  <Characters>2047</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은빈 신</dc:creator>
  <cp:keywords/>
  <dc:description/>
  <cp:lastModifiedBy>은빈 신</cp:lastModifiedBy>
  <cp:revision>24</cp:revision>
  <dcterms:created xsi:type="dcterms:W3CDTF">2026-03-30T01:19:00Z</dcterms:created>
  <dcterms:modified xsi:type="dcterms:W3CDTF">2026-04-01T07:44:00Z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99180944-1c4b-4344-a519-1087996667ab</vt:lpwstr>
  </property>
</Properties>
</file>