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17942" w14:textId="16F978C6" w:rsidR="00007F85" w:rsidRPr="009F27C1" w:rsidRDefault="00007F85" w:rsidP="00007F85">
      <w:pPr>
        <w:widowControl/>
        <w:spacing w:after="0" w:line="480" w:lineRule="auto"/>
        <w:jc w:val="left"/>
        <w:rPr>
          <w:rFonts w:ascii="Times New Roman" w:hAnsi="Times New Roman" w:cs="Times New Roman"/>
          <w:b/>
          <w:sz w:val="22"/>
        </w:rPr>
      </w:pPr>
      <w:r w:rsidRPr="009F27C1">
        <w:rPr>
          <w:rFonts w:ascii="Times New Roman" w:hAnsi="Times New Roman" w:cs="Times New Roman" w:hint="eastAsia"/>
          <w:b/>
          <w:sz w:val="22"/>
        </w:rPr>
        <w:t>Title</w:t>
      </w:r>
    </w:p>
    <w:p w14:paraId="1C0E21D1" w14:textId="6C06437E" w:rsidR="00007F85" w:rsidRPr="009F27C1" w:rsidRDefault="00007F85" w:rsidP="00007F85">
      <w:pPr>
        <w:widowControl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  <w:r w:rsidRPr="009F27C1">
        <w:rPr>
          <w:rFonts w:ascii="Times New Roman" w:eastAsia="Times New Roman" w:hAnsi="Times New Roman" w:cs="Times New Roman"/>
          <w:bCs/>
          <w:sz w:val="22"/>
        </w:rPr>
        <w:t xml:space="preserve">Immune regulation and </w:t>
      </w:r>
      <w:proofErr w:type="spellStart"/>
      <w:r w:rsidRPr="009F27C1">
        <w:rPr>
          <w:rFonts w:ascii="Times New Roman" w:eastAsia="Times New Roman" w:hAnsi="Times New Roman" w:cs="Times New Roman"/>
          <w:bCs/>
          <w:sz w:val="22"/>
        </w:rPr>
        <w:t>lymphangiogenesis</w:t>
      </w:r>
      <w:proofErr w:type="spellEnd"/>
      <w:r w:rsidRPr="009F27C1">
        <w:rPr>
          <w:rFonts w:ascii="Times New Roman" w:eastAsia="Times New Roman" w:hAnsi="Times New Roman" w:cs="Times New Roman"/>
          <w:bCs/>
          <w:sz w:val="22"/>
        </w:rPr>
        <w:t xml:space="preserve"> by lymphatic endothelial cells in the decidua in </w:t>
      </w:r>
      <w:r w:rsidRPr="009F27C1">
        <w:rPr>
          <w:rFonts w:ascii="Times New Roman" w:eastAsia="맑은 고딕" w:hAnsi="Times New Roman" w:cs="Times New Roman" w:hint="eastAsia"/>
          <w:bCs/>
          <w:sz w:val="22"/>
        </w:rPr>
        <w:t xml:space="preserve">severe </w:t>
      </w:r>
      <w:r w:rsidRPr="009F27C1">
        <w:rPr>
          <w:rFonts w:ascii="Times New Roman" w:eastAsia="Times New Roman" w:hAnsi="Times New Roman" w:cs="Times New Roman"/>
          <w:bCs/>
          <w:sz w:val="22"/>
        </w:rPr>
        <w:t xml:space="preserve">preeclampsia </w:t>
      </w:r>
    </w:p>
    <w:p w14:paraId="19F135A6" w14:textId="77777777" w:rsidR="00007F85" w:rsidRPr="009F27C1" w:rsidRDefault="00007F85" w:rsidP="00007F85">
      <w:pPr>
        <w:widowControl/>
        <w:spacing w:after="0" w:line="480" w:lineRule="auto"/>
        <w:jc w:val="left"/>
        <w:rPr>
          <w:rFonts w:ascii="Times New Roman" w:hAnsi="Times New Roman" w:cs="Times New Roman"/>
          <w:bCs/>
          <w:sz w:val="22"/>
        </w:rPr>
      </w:pPr>
    </w:p>
    <w:p w14:paraId="65340F96" w14:textId="77777777" w:rsidR="00007F85" w:rsidRPr="009F27C1" w:rsidRDefault="00007F85" w:rsidP="00007F85">
      <w:pPr>
        <w:spacing w:after="0" w:line="480" w:lineRule="auto"/>
        <w:jc w:val="left"/>
        <w:rPr>
          <w:rFonts w:ascii="Times New Roman" w:eastAsia="Times New Roman" w:hAnsi="Times New Roman" w:cs="Times New Roman"/>
          <w:bCs/>
          <w:sz w:val="22"/>
          <w:vertAlign w:val="superscript"/>
        </w:rPr>
      </w:pPr>
      <w:proofErr w:type="spellStart"/>
      <w:r w:rsidRPr="009F27C1">
        <w:rPr>
          <w:rFonts w:ascii="Times New Roman" w:eastAsia="Times New Roman" w:hAnsi="Times New Roman" w:cs="Times New Roman"/>
          <w:bCs/>
          <w:sz w:val="22"/>
        </w:rPr>
        <w:t>Suhra</w:t>
      </w:r>
      <w:proofErr w:type="spellEnd"/>
      <w:r w:rsidRPr="009F27C1">
        <w:rPr>
          <w:rFonts w:ascii="Times New Roman" w:eastAsia="Times New Roman" w:hAnsi="Times New Roman" w:cs="Times New Roman"/>
          <w:bCs/>
          <w:sz w:val="22"/>
        </w:rPr>
        <w:t xml:space="preserve"> Kim, Yeji Lee, Ja-Young Kwon, Yong-Sun Maeng*</w:t>
      </w:r>
    </w:p>
    <w:p w14:paraId="4FB24780" w14:textId="2815EBDD" w:rsidR="00007F85" w:rsidRPr="009F27C1" w:rsidRDefault="00007F85" w:rsidP="00007F85">
      <w:pPr>
        <w:spacing w:after="0" w:line="480" w:lineRule="auto"/>
        <w:rPr>
          <w:rFonts w:ascii="Times New Roman" w:eastAsia="Times New Roman" w:hAnsi="Times New Roman" w:cs="Times New Roman"/>
          <w:sz w:val="22"/>
        </w:rPr>
      </w:pPr>
      <w:r w:rsidRPr="009F27C1">
        <w:rPr>
          <w:rFonts w:ascii="Times New Roman" w:eastAsia="Times New Roman" w:hAnsi="Times New Roman" w:cs="Times New Roman"/>
          <w:sz w:val="22"/>
        </w:rPr>
        <w:t>Department of Obstetrics and Gynecology, Institute of Women’s Life Medical Science, Yonsei University College of Medicine, Seoul, Korea</w:t>
      </w:r>
    </w:p>
    <w:p w14:paraId="09F2E526" w14:textId="77777777" w:rsidR="00007F85" w:rsidRPr="009F27C1" w:rsidRDefault="00007F85" w:rsidP="00007F85">
      <w:pPr>
        <w:spacing w:after="0" w:line="480" w:lineRule="auto"/>
        <w:rPr>
          <w:rFonts w:ascii="Times New Roman" w:hAnsi="Times New Roman" w:cs="Times New Roman"/>
          <w:b/>
          <w:sz w:val="22"/>
        </w:rPr>
      </w:pPr>
    </w:p>
    <w:p w14:paraId="6D702CD8" w14:textId="77777777" w:rsidR="00007F85" w:rsidRPr="009F27C1" w:rsidRDefault="00007F85" w:rsidP="00007F85">
      <w:pPr>
        <w:spacing w:after="0" w:line="480" w:lineRule="auto"/>
        <w:rPr>
          <w:rFonts w:ascii="Times New Roman" w:eastAsia="Times New Roman" w:hAnsi="Times New Roman" w:cs="Times New Roman"/>
          <w:sz w:val="22"/>
        </w:rPr>
      </w:pPr>
      <w:r w:rsidRPr="009F27C1">
        <w:rPr>
          <w:rFonts w:ascii="Times New Roman" w:eastAsia="Times New Roman" w:hAnsi="Times New Roman" w:cs="Times New Roman"/>
          <w:b/>
          <w:sz w:val="22"/>
        </w:rPr>
        <w:t xml:space="preserve">Background: </w:t>
      </w:r>
      <w:r w:rsidRPr="009F27C1">
        <w:rPr>
          <w:rFonts w:ascii="Times New Roman" w:eastAsia="Times New Roman" w:hAnsi="Times New Roman" w:cs="Times New Roman"/>
          <w:sz w:val="22"/>
        </w:rPr>
        <w:t xml:space="preserve">Lymphatic vasculature regulates lymphocyte trafficking and modulates adaptive immunity. Imbalanced immune cells at the maternal-fetal interface may contribute to severe preeclampsia (PE). Impaired placental </w:t>
      </w:r>
      <w:proofErr w:type="spellStart"/>
      <w:r w:rsidRPr="009F27C1">
        <w:rPr>
          <w:rFonts w:ascii="Times New Roman" w:eastAsia="Times New Roman" w:hAnsi="Times New Roman" w:cs="Times New Roman"/>
          <w:sz w:val="22"/>
        </w:rPr>
        <w:t>lymphangiogenesis</w:t>
      </w:r>
      <w:proofErr w:type="spellEnd"/>
      <w:r w:rsidRPr="009F27C1">
        <w:rPr>
          <w:rFonts w:ascii="Times New Roman" w:eastAsia="Times New Roman" w:hAnsi="Times New Roman" w:cs="Times New Roman"/>
          <w:sz w:val="22"/>
        </w:rPr>
        <w:t xml:space="preserve"> and immune regulation are proposed contributors to PE, although research is limited. Therefore, we aimed to investigate the association between </w:t>
      </w:r>
      <w:proofErr w:type="spellStart"/>
      <w:r w:rsidRPr="009F27C1">
        <w:rPr>
          <w:rFonts w:ascii="Times New Roman" w:eastAsia="Times New Roman" w:hAnsi="Times New Roman" w:cs="Times New Roman"/>
          <w:sz w:val="22"/>
        </w:rPr>
        <w:t>lymphangiogenesis</w:t>
      </w:r>
      <w:proofErr w:type="spellEnd"/>
      <w:r w:rsidRPr="009F27C1">
        <w:rPr>
          <w:rFonts w:ascii="Times New Roman" w:eastAsia="Times New Roman" w:hAnsi="Times New Roman" w:cs="Times New Roman"/>
          <w:sz w:val="22"/>
        </w:rPr>
        <w:t xml:space="preserve"> and immune regulation in severe PE. </w:t>
      </w:r>
    </w:p>
    <w:p w14:paraId="037559ED" w14:textId="77777777" w:rsidR="00007F85" w:rsidRPr="009F27C1" w:rsidRDefault="00007F85" w:rsidP="00007F85">
      <w:pPr>
        <w:spacing w:after="0" w:line="480" w:lineRule="auto"/>
        <w:rPr>
          <w:rFonts w:ascii="Times New Roman" w:eastAsia="맑은 고딕" w:hAnsi="Times New Roman" w:cs="Times New Roman"/>
          <w:b/>
          <w:sz w:val="22"/>
        </w:rPr>
      </w:pPr>
      <w:r w:rsidRPr="009F27C1">
        <w:rPr>
          <w:rFonts w:ascii="Times New Roman" w:eastAsia="Times New Roman" w:hAnsi="Times New Roman" w:cs="Times New Roman"/>
          <w:b/>
          <w:sz w:val="22"/>
        </w:rPr>
        <w:t>Methods:</w:t>
      </w:r>
      <w:r w:rsidRPr="009F27C1">
        <w:rPr>
          <w:rFonts w:ascii="Times New Roman" w:eastAsia="맑은 고딕" w:hAnsi="Times New Roman" w:cs="Times New Roman" w:hint="eastAsia"/>
          <w:b/>
          <w:sz w:val="22"/>
        </w:rPr>
        <w:t xml:space="preserve"> </w:t>
      </w:r>
      <w:r w:rsidRPr="009F27C1">
        <w:rPr>
          <w:rFonts w:ascii="Times New Roman" w:hAnsi="Times New Roman" w:cs="Times New Roman"/>
          <w:sz w:val="22"/>
        </w:rPr>
        <w:t>Pregnant women delivered between 2019 and 2021 were enrolled. Decidual lymphatic endothelial cells (</w:t>
      </w:r>
      <w:proofErr w:type="spellStart"/>
      <w:r w:rsidRPr="009F27C1">
        <w:rPr>
          <w:rFonts w:ascii="Times New Roman" w:hAnsi="Times New Roman" w:cs="Times New Roman"/>
          <w:sz w:val="22"/>
        </w:rPr>
        <w:t>dLECs</w:t>
      </w:r>
      <w:proofErr w:type="spellEnd"/>
      <w:r w:rsidRPr="009F27C1">
        <w:rPr>
          <w:rFonts w:ascii="Times New Roman" w:hAnsi="Times New Roman" w:cs="Times New Roman"/>
          <w:sz w:val="22"/>
        </w:rPr>
        <w:t xml:space="preserve">) were isolated from </w:t>
      </w:r>
      <w:proofErr w:type="spellStart"/>
      <w:r w:rsidRPr="009F27C1">
        <w:rPr>
          <w:rFonts w:ascii="Times New Roman" w:hAnsi="Times New Roman" w:cs="Times New Roman"/>
          <w:sz w:val="22"/>
        </w:rPr>
        <w:t>chorioamniotic</w:t>
      </w:r>
      <w:proofErr w:type="spellEnd"/>
      <w:r w:rsidRPr="009F27C1">
        <w:rPr>
          <w:rFonts w:ascii="Times New Roman" w:hAnsi="Times New Roman" w:cs="Times New Roman"/>
          <w:sz w:val="22"/>
        </w:rPr>
        <w:t xml:space="preserve"> membranes at caesarean section, identified by LYVE1, Prox1, and CD31, and cultured. Gene expression in </w:t>
      </w:r>
      <w:proofErr w:type="spellStart"/>
      <w:r w:rsidRPr="009F27C1">
        <w:rPr>
          <w:rFonts w:ascii="Times New Roman" w:hAnsi="Times New Roman" w:cs="Times New Roman"/>
          <w:sz w:val="22"/>
        </w:rPr>
        <w:t>dLECs</w:t>
      </w:r>
      <w:proofErr w:type="spellEnd"/>
      <w:r w:rsidRPr="009F27C1">
        <w:rPr>
          <w:rFonts w:ascii="Times New Roman" w:hAnsi="Times New Roman" w:cs="Times New Roman"/>
          <w:sz w:val="22"/>
        </w:rPr>
        <w:t xml:space="preserve"> (PE versus </w:t>
      </w:r>
      <w:r w:rsidRPr="009F27C1">
        <w:rPr>
          <w:rFonts w:ascii="Times New Roman" w:eastAsia="맑은 고딕" w:hAnsi="Times New Roman" w:cs="Times New Roman"/>
          <w:sz w:val="22"/>
        </w:rPr>
        <w:t>normal</w:t>
      </w:r>
      <w:r w:rsidRPr="009F27C1">
        <w:rPr>
          <w:rFonts w:ascii="Times New Roman" w:hAnsi="Times New Roman" w:cs="Times New Roman"/>
          <w:sz w:val="22"/>
        </w:rPr>
        <w:t xml:space="preserve">, n=3 each) was analyzed by </w:t>
      </w:r>
      <w:proofErr w:type="spellStart"/>
      <w:r w:rsidRPr="009F27C1">
        <w:rPr>
          <w:rFonts w:ascii="Times New Roman" w:hAnsi="Times New Roman" w:cs="Times New Roman"/>
          <w:sz w:val="22"/>
        </w:rPr>
        <w:t>QuantSeq</w:t>
      </w:r>
      <w:proofErr w:type="spellEnd"/>
      <w:r w:rsidRPr="009F27C1">
        <w:rPr>
          <w:rFonts w:ascii="Times New Roman" w:hAnsi="Times New Roman" w:cs="Times New Roman" w:hint="eastAsia"/>
          <w:sz w:val="22"/>
        </w:rPr>
        <w:t xml:space="preserve"> 3</w:t>
      </w:r>
      <w:r w:rsidRPr="009F27C1">
        <w:rPr>
          <w:rFonts w:ascii="Times New Roman" w:hAnsi="Times New Roman" w:cs="Times New Roman" w:hint="eastAsia"/>
          <w:sz w:val="22"/>
        </w:rPr>
        <w:t>′</w:t>
      </w:r>
      <w:r w:rsidRPr="009F27C1">
        <w:rPr>
          <w:rFonts w:ascii="Times New Roman" w:hAnsi="Times New Roman" w:cs="Times New Roman" w:hint="eastAsia"/>
          <w:sz w:val="22"/>
        </w:rPr>
        <w:t xml:space="preserve"> mRNA sequencing and quantitative</w:t>
      </w:r>
      <w:r w:rsidRPr="009F27C1">
        <w:rPr>
          <w:rFonts w:ascii="Times New Roman" w:hAnsi="Times New Roman" w:cs="Times New Roman"/>
          <w:sz w:val="22"/>
        </w:rPr>
        <w:t xml:space="preserve"> RT-PCR. Functional assays assessed angiogenic activity, proliferation, migration, and dendritic cell to </w:t>
      </w:r>
      <w:proofErr w:type="spellStart"/>
      <w:r w:rsidRPr="009F27C1">
        <w:rPr>
          <w:rFonts w:ascii="Times New Roman" w:hAnsi="Times New Roman" w:cs="Times New Roman"/>
          <w:sz w:val="22"/>
        </w:rPr>
        <w:t>dLEC</w:t>
      </w:r>
      <w:proofErr w:type="spellEnd"/>
      <w:r w:rsidRPr="009F27C1">
        <w:rPr>
          <w:rFonts w:ascii="Times New Roman" w:hAnsi="Times New Roman" w:cs="Times New Roman"/>
          <w:sz w:val="22"/>
        </w:rPr>
        <w:t xml:space="preserve"> interactions. Nitric oxide production and signaling pathways were evaluated.</w:t>
      </w:r>
    </w:p>
    <w:p w14:paraId="48078B86" w14:textId="77777777" w:rsidR="00007F85" w:rsidRPr="009F27C1" w:rsidRDefault="00007F85" w:rsidP="00007F85">
      <w:pPr>
        <w:spacing w:after="0" w:line="480" w:lineRule="auto"/>
        <w:rPr>
          <w:rFonts w:ascii="Times New Roman" w:eastAsia="Times New Roman" w:hAnsi="Times New Roman" w:cs="Times New Roman"/>
          <w:sz w:val="22"/>
        </w:rPr>
      </w:pPr>
      <w:r w:rsidRPr="009F27C1">
        <w:rPr>
          <w:rFonts w:ascii="Times New Roman" w:eastAsia="Times New Roman" w:hAnsi="Times New Roman" w:cs="Times New Roman"/>
          <w:b/>
          <w:sz w:val="22"/>
        </w:rPr>
        <w:t xml:space="preserve">Results: </w:t>
      </w:r>
      <w:r w:rsidRPr="009F27C1">
        <w:rPr>
          <w:rFonts w:ascii="Times New Roman" w:eastAsia="Times New Roman" w:hAnsi="Times New Roman" w:cs="Times New Roman"/>
          <w:sz w:val="22"/>
        </w:rPr>
        <w:t xml:space="preserve">Fetal </w:t>
      </w:r>
      <w:proofErr w:type="spellStart"/>
      <w:r w:rsidRPr="009F27C1">
        <w:rPr>
          <w:rFonts w:ascii="Times New Roman" w:eastAsia="Times New Roman" w:hAnsi="Times New Roman" w:cs="Times New Roman"/>
          <w:sz w:val="22"/>
        </w:rPr>
        <w:t>chorioamniotic</w:t>
      </w:r>
      <w:proofErr w:type="spellEnd"/>
      <w:r w:rsidRPr="009F27C1">
        <w:rPr>
          <w:rFonts w:ascii="Times New Roman" w:eastAsia="Times New Roman" w:hAnsi="Times New Roman" w:cs="Times New Roman"/>
          <w:sz w:val="22"/>
        </w:rPr>
        <w:t xml:space="preserve"> membranes were collected from women with PE (n=15) and gestational age-matched controls (n=15). LYVE1-positive lymphatic vessels were abundant in the decidua. Decidual lymphatic endothelial cells (</w:t>
      </w:r>
      <w:proofErr w:type="spellStart"/>
      <w:r w:rsidRPr="009F27C1">
        <w:rPr>
          <w:rFonts w:ascii="Times New Roman" w:eastAsia="Times New Roman" w:hAnsi="Times New Roman" w:cs="Times New Roman"/>
          <w:sz w:val="22"/>
        </w:rPr>
        <w:t>dLECs</w:t>
      </w:r>
      <w:proofErr w:type="spellEnd"/>
      <w:r w:rsidRPr="009F27C1">
        <w:rPr>
          <w:rFonts w:ascii="Times New Roman" w:eastAsia="Times New Roman" w:hAnsi="Times New Roman" w:cs="Times New Roman"/>
          <w:sz w:val="22"/>
        </w:rPr>
        <w:t xml:space="preserve">) from PE pregnancies showed substantially reduced migration, adhesion, and morphological differentiation and decreased lymphatic sprouting in a 3D lymphatic ring assay compared with controls. Additionally, </w:t>
      </w:r>
      <w:proofErr w:type="spellStart"/>
      <w:r w:rsidRPr="009F27C1">
        <w:rPr>
          <w:rFonts w:ascii="Times New Roman" w:eastAsia="Times New Roman" w:hAnsi="Times New Roman" w:cs="Times New Roman"/>
          <w:sz w:val="22"/>
        </w:rPr>
        <w:t>dLECs</w:t>
      </w:r>
      <w:proofErr w:type="spellEnd"/>
      <w:r w:rsidRPr="009F27C1">
        <w:rPr>
          <w:rFonts w:ascii="Times New Roman" w:eastAsia="Times New Roman" w:hAnsi="Times New Roman" w:cs="Times New Roman"/>
          <w:sz w:val="22"/>
        </w:rPr>
        <w:t xml:space="preserve"> from PE pregnancies exhibited lower chemokine ligand 21 expression and impaired dendritic cell recruitment, along with reduced Akt-endothelial nitric oxide synthase-nitric oxide signaling, a pathway that suppresses cytotoxic T cell activation in the decidua. </w:t>
      </w:r>
    </w:p>
    <w:p w14:paraId="3FC5E018" w14:textId="658BCE65" w:rsidR="00007F85" w:rsidRPr="009F27C1" w:rsidRDefault="00007F85" w:rsidP="00007F85">
      <w:pPr>
        <w:spacing w:line="480" w:lineRule="auto"/>
        <w:rPr>
          <w:rFonts w:ascii="Times New Roman" w:hAnsi="Times New Roman" w:cs="Times New Roman"/>
          <w:sz w:val="22"/>
        </w:rPr>
      </w:pPr>
      <w:r w:rsidRPr="009F27C1">
        <w:rPr>
          <w:rFonts w:ascii="Times New Roman" w:eastAsia="Times New Roman" w:hAnsi="Times New Roman" w:cs="Times New Roman"/>
          <w:b/>
          <w:sz w:val="22"/>
        </w:rPr>
        <w:lastRenderedPageBreak/>
        <w:t xml:space="preserve">Conclusions: </w:t>
      </w:r>
      <w:r w:rsidRPr="009F27C1">
        <w:rPr>
          <w:rFonts w:ascii="Times New Roman" w:eastAsia="Times New Roman" w:hAnsi="Times New Roman" w:cs="Times New Roman"/>
          <w:sz w:val="22"/>
        </w:rPr>
        <w:t xml:space="preserve">Our findings suggest that impaired lymphatic vessel function and molecular alterations in the decidua may disrupt immune regulation and contribute to severe PE. </w:t>
      </w:r>
      <w:r w:rsidRPr="009F27C1">
        <w:rPr>
          <w:rFonts w:ascii="Times New Roman" w:hAnsi="Times New Roman" w:cs="Times New Roman" w:hint="eastAsia"/>
          <w:sz w:val="22"/>
        </w:rPr>
        <w:t xml:space="preserve">(Grant </w:t>
      </w:r>
      <w:proofErr w:type="gramStart"/>
      <w:r w:rsidRPr="009F27C1">
        <w:rPr>
          <w:rFonts w:ascii="Times New Roman" w:hAnsi="Times New Roman" w:cs="Times New Roman" w:hint="eastAsia"/>
          <w:sz w:val="22"/>
        </w:rPr>
        <w:t>Number :</w:t>
      </w:r>
      <w:proofErr w:type="gramEnd"/>
      <w:r w:rsidRPr="009F27C1">
        <w:rPr>
          <w:rFonts w:ascii="Times New Roman" w:eastAsia="Times New Roman" w:hAnsi="Times New Roman" w:cs="Times New Roman"/>
          <w:sz w:val="22"/>
        </w:rPr>
        <w:t xml:space="preserve"> </w:t>
      </w:r>
      <w:r w:rsidRPr="009F27C1">
        <w:rPr>
          <w:rFonts w:ascii="Times New Roman" w:hAnsi="Times New Roman" w:cs="Times New Roman" w:hint="eastAsia"/>
          <w:sz w:val="22"/>
        </w:rPr>
        <w:t>NRF-</w:t>
      </w:r>
      <w:r w:rsidRPr="009F27C1">
        <w:rPr>
          <w:rFonts w:ascii="Times New Roman" w:eastAsia="Times New Roman" w:hAnsi="Times New Roman" w:cs="Times New Roman"/>
          <w:sz w:val="22"/>
        </w:rPr>
        <w:t>2021R1A2C2014591, 2022R1I1A1A01064011, and RS-2024-00342487</w:t>
      </w:r>
      <w:r w:rsidRPr="009F27C1">
        <w:rPr>
          <w:rFonts w:ascii="Times New Roman" w:hAnsi="Times New Roman" w:cs="Times New Roman" w:hint="eastAsia"/>
          <w:sz w:val="22"/>
        </w:rPr>
        <w:t>)</w:t>
      </w:r>
    </w:p>
    <w:p w14:paraId="2B4AA10A" w14:textId="3A6E5969" w:rsidR="00007F85" w:rsidRPr="009F27C1" w:rsidRDefault="00007F85" w:rsidP="00461CA6">
      <w:pPr>
        <w:spacing w:after="0" w:line="480" w:lineRule="auto"/>
        <w:rPr>
          <w:rFonts w:ascii="Times New Roman" w:hAnsi="Times New Roman" w:cs="Times New Roman"/>
          <w:sz w:val="22"/>
        </w:rPr>
      </w:pPr>
      <w:r w:rsidRPr="009F27C1">
        <w:rPr>
          <w:rFonts w:ascii="Times New Roman" w:eastAsia="Times New Roman" w:hAnsi="Times New Roman" w:cs="Times New Roman"/>
          <w:b/>
          <w:sz w:val="22"/>
        </w:rPr>
        <w:t>Keywords</w:t>
      </w:r>
      <w:r w:rsidRPr="009F27C1">
        <w:rPr>
          <w:rFonts w:ascii="Times New Roman" w:eastAsia="Times New Roman" w:hAnsi="Times New Roman" w:cs="Times New Roman"/>
          <w:sz w:val="22"/>
        </w:rPr>
        <w:t xml:space="preserve">: placenta; </w:t>
      </w:r>
      <w:proofErr w:type="spellStart"/>
      <w:r w:rsidRPr="009F27C1">
        <w:rPr>
          <w:rFonts w:ascii="Times New Roman" w:eastAsia="Times New Roman" w:hAnsi="Times New Roman" w:cs="Times New Roman"/>
          <w:sz w:val="22"/>
        </w:rPr>
        <w:t>lymphangiogenesis</w:t>
      </w:r>
      <w:proofErr w:type="spellEnd"/>
      <w:r w:rsidRPr="009F27C1">
        <w:rPr>
          <w:rFonts w:ascii="Times New Roman" w:eastAsia="Times New Roman" w:hAnsi="Times New Roman" w:cs="Times New Roman"/>
          <w:sz w:val="22"/>
        </w:rPr>
        <w:t>; decidual lymphatic endothelial cells; preeclampsia; pregnancy</w:t>
      </w:r>
    </w:p>
    <w:sectPr w:rsidR="00007F85" w:rsidRPr="009F27C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F85"/>
    <w:rsid w:val="00007F85"/>
    <w:rsid w:val="00266213"/>
    <w:rsid w:val="00461CA6"/>
    <w:rsid w:val="006F5D4B"/>
    <w:rsid w:val="00996480"/>
    <w:rsid w:val="009F27C1"/>
    <w:rsid w:val="00A7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E39D5"/>
  <w15:chartTrackingRefBased/>
  <w15:docId w15:val="{1A969790-6845-4946-B20F-E31C444DB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7F85"/>
    <w:pPr>
      <w:widowControl w:val="0"/>
      <w:spacing w:after="200" w:line="276" w:lineRule="auto"/>
      <w:jc w:val="both"/>
    </w:pPr>
    <w:rPr>
      <w:rFonts w:asciiTheme="minorHAnsi"/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007F85"/>
    <w:pPr>
      <w:keepNext/>
      <w:keepLines/>
      <w:wordWrap w:val="0"/>
      <w:autoSpaceDE w:val="0"/>
      <w:autoSpaceDN w:val="0"/>
      <w:spacing w:before="280" w:after="80" w:line="240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07F85"/>
    <w:pPr>
      <w:keepNext/>
      <w:keepLines/>
      <w:wordWrap w:val="0"/>
      <w:autoSpaceDE w:val="0"/>
      <w:autoSpaceDN w:val="0"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07F85"/>
    <w:pPr>
      <w:keepNext/>
      <w:keepLines/>
      <w:wordWrap w:val="0"/>
      <w:autoSpaceDE w:val="0"/>
      <w:autoSpaceDN w:val="0"/>
      <w:spacing w:before="160" w:after="80" w:line="240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7F85"/>
    <w:pPr>
      <w:keepNext/>
      <w:keepLines/>
      <w:wordWrap w:val="0"/>
      <w:autoSpaceDE w:val="0"/>
      <w:autoSpaceDN w:val="0"/>
      <w:spacing w:before="80" w:after="40" w:line="240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07F85"/>
    <w:pPr>
      <w:keepNext/>
      <w:keepLines/>
      <w:wordWrap w:val="0"/>
      <w:autoSpaceDE w:val="0"/>
      <w:autoSpaceDN w:val="0"/>
      <w:spacing w:before="80" w:after="40" w:line="240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07F85"/>
    <w:pPr>
      <w:keepNext/>
      <w:keepLines/>
      <w:wordWrap w:val="0"/>
      <w:autoSpaceDE w:val="0"/>
      <w:autoSpaceDN w:val="0"/>
      <w:spacing w:before="80" w:after="40" w:line="240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07F85"/>
    <w:pPr>
      <w:keepNext/>
      <w:keepLines/>
      <w:wordWrap w:val="0"/>
      <w:autoSpaceDE w:val="0"/>
      <w:autoSpaceDN w:val="0"/>
      <w:spacing w:before="80" w:after="40" w:line="240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07F85"/>
    <w:pPr>
      <w:keepNext/>
      <w:keepLines/>
      <w:wordWrap w:val="0"/>
      <w:autoSpaceDE w:val="0"/>
      <w:autoSpaceDN w:val="0"/>
      <w:spacing w:before="80" w:after="40" w:line="240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07F85"/>
    <w:pPr>
      <w:keepNext/>
      <w:keepLines/>
      <w:wordWrap w:val="0"/>
      <w:autoSpaceDE w:val="0"/>
      <w:autoSpaceDN w:val="0"/>
      <w:spacing w:before="80" w:after="40" w:line="240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007F8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007F8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007F8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007F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007F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007F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007F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007F8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007F8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007F85"/>
    <w:pPr>
      <w:wordWrap w:val="0"/>
      <w:autoSpaceDE w:val="0"/>
      <w:autoSpaceDN w:val="0"/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007F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07F85"/>
    <w:pPr>
      <w:numPr>
        <w:ilvl w:val="1"/>
      </w:numPr>
      <w:wordWrap w:val="0"/>
      <w:autoSpaceDE w:val="0"/>
      <w:autoSpaceDN w:val="0"/>
      <w:spacing w:after="1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007F8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07F85"/>
    <w:pPr>
      <w:wordWrap w:val="0"/>
      <w:autoSpaceDE w:val="0"/>
      <w:autoSpaceDN w:val="0"/>
      <w:spacing w:before="160" w:after="160" w:line="240" w:lineRule="auto"/>
      <w:jc w:val="center"/>
    </w:pPr>
    <w:rPr>
      <w:rFonts w:asciiTheme="minorEastAsia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007F85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07F85"/>
    <w:pPr>
      <w:wordWrap w:val="0"/>
      <w:autoSpaceDE w:val="0"/>
      <w:autoSpaceDN w:val="0"/>
      <w:spacing w:after="160" w:line="240" w:lineRule="auto"/>
      <w:ind w:left="720"/>
      <w:contextualSpacing/>
      <w:jc w:val="left"/>
    </w:pPr>
    <w:rPr>
      <w:rFonts w:asciiTheme="minorEastAsia"/>
      <w:sz w:val="22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007F85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07F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wordWrap w:val="0"/>
      <w:autoSpaceDE w:val="0"/>
      <w:autoSpaceDN w:val="0"/>
      <w:spacing w:before="360" w:after="360" w:line="240" w:lineRule="auto"/>
      <w:ind w:left="864" w:right="864"/>
      <w:jc w:val="center"/>
    </w:pPr>
    <w:rPr>
      <w:rFonts w:asciiTheme="minorEastAsia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007F85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07F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서라 김</dc:creator>
  <cp:keywords/>
  <dc:description/>
  <cp:lastModifiedBy>서라 김</cp:lastModifiedBy>
  <cp:revision>3</cp:revision>
  <dcterms:created xsi:type="dcterms:W3CDTF">2025-10-09T12:54:00Z</dcterms:created>
  <dcterms:modified xsi:type="dcterms:W3CDTF">2025-10-10T04:00:00Z</dcterms:modified>
</cp:coreProperties>
</file>