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FB70A" w14:textId="5A17DD97" w:rsidR="00E62A64" w:rsidRPr="00C712E8" w:rsidRDefault="00A3422F" w:rsidP="00E211F6">
      <w:pPr>
        <w:widowControl/>
        <w:wordWrap/>
        <w:autoSpaceDE/>
        <w:autoSpaceDN/>
        <w:rPr>
          <w:rFonts w:ascii="Arial" w:hAnsi="Arial" w:cs="Arial"/>
          <w:b/>
          <w:bCs/>
          <w:sz w:val="22"/>
        </w:rPr>
      </w:pPr>
      <w:r w:rsidRPr="00A3422F">
        <w:rPr>
          <w:rFonts w:ascii="Arial" w:hAnsi="Arial" w:cs="Arial"/>
          <w:b/>
          <w:bCs/>
          <w:sz w:val="22"/>
        </w:rPr>
        <w:t xml:space="preserve">High-fat diet induces an imbalance between immune function and cellular proliferation in the </w:t>
      </w:r>
      <w:r w:rsidR="00A1153F">
        <w:rPr>
          <w:rFonts w:ascii="Arial" w:hAnsi="Arial" w:cs="Arial" w:hint="eastAsia"/>
          <w:b/>
          <w:bCs/>
          <w:sz w:val="22"/>
        </w:rPr>
        <w:t xml:space="preserve">mouse </w:t>
      </w:r>
      <w:r w:rsidRPr="00A3422F">
        <w:rPr>
          <w:rFonts w:ascii="Arial" w:hAnsi="Arial" w:cs="Arial"/>
          <w:b/>
          <w:bCs/>
          <w:sz w:val="22"/>
        </w:rPr>
        <w:t>uter</w:t>
      </w:r>
      <w:r w:rsidR="00A1153F">
        <w:rPr>
          <w:rFonts w:ascii="Arial" w:hAnsi="Arial" w:cs="Arial" w:hint="eastAsia"/>
          <w:b/>
          <w:bCs/>
          <w:sz w:val="22"/>
        </w:rPr>
        <w:t xml:space="preserve">us </w:t>
      </w:r>
    </w:p>
    <w:p w14:paraId="69E017E3" w14:textId="77777777" w:rsidR="00E62A64" w:rsidRDefault="00E62A64" w:rsidP="00E211F6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1CABA6B8" w14:textId="34D32FAE" w:rsidR="005D2AB9" w:rsidRPr="0031044F" w:rsidRDefault="005D2AB9" w:rsidP="005D2AB9">
      <w:pPr>
        <w:widowControl/>
        <w:wordWrap/>
        <w:autoSpaceDE/>
        <w:autoSpaceDN/>
        <w:rPr>
          <w:rFonts w:ascii="Arial" w:hAnsi="Arial" w:cs="Arial"/>
          <w:sz w:val="22"/>
          <w:szCs w:val="24"/>
        </w:rPr>
      </w:pPr>
      <w:proofErr w:type="spellStart"/>
      <w:r w:rsidRPr="001D09AF">
        <w:rPr>
          <w:rFonts w:ascii="Arial" w:hAnsi="Arial" w:cs="Arial"/>
          <w:sz w:val="22"/>
        </w:rPr>
        <w:t>Surim</w:t>
      </w:r>
      <w:proofErr w:type="spellEnd"/>
      <w:r w:rsidRPr="001D09AF">
        <w:rPr>
          <w:rFonts w:ascii="Arial" w:hAnsi="Arial" w:cs="Arial"/>
          <w:sz w:val="22"/>
        </w:rPr>
        <w:t xml:space="preserve"> Oh</w:t>
      </w:r>
      <w:r>
        <w:rPr>
          <w:rFonts w:ascii="Arial" w:hAnsi="Arial" w:cs="Arial" w:hint="eastAsia"/>
          <w:sz w:val="22"/>
          <w:vertAlign w:val="superscript"/>
        </w:rPr>
        <w:t>1</w:t>
      </w:r>
      <w:r w:rsidRPr="001D09AF"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 w:hint="eastAsia"/>
          <w:sz w:val="22"/>
        </w:rPr>
        <w:t>Eunbin</w:t>
      </w:r>
      <w:proofErr w:type="spellEnd"/>
      <w:r>
        <w:rPr>
          <w:rFonts w:ascii="Arial" w:hAnsi="Arial" w:cs="Arial" w:hint="eastAsia"/>
          <w:sz w:val="22"/>
        </w:rPr>
        <w:t xml:space="preserve"> Shin</w:t>
      </w:r>
      <w:r>
        <w:rPr>
          <w:rFonts w:ascii="Arial" w:hAnsi="Arial" w:cs="Arial" w:hint="eastAsia"/>
          <w:sz w:val="22"/>
          <w:vertAlign w:val="superscript"/>
        </w:rPr>
        <w:t>1</w:t>
      </w:r>
      <w:r>
        <w:rPr>
          <w:rFonts w:ascii="Arial" w:hAnsi="Arial" w:cs="Arial" w:hint="eastAsia"/>
          <w:sz w:val="22"/>
        </w:rPr>
        <w:t xml:space="preserve">, </w:t>
      </w:r>
      <w:proofErr w:type="spellStart"/>
      <w:r w:rsidR="00AF0AFB">
        <w:rPr>
          <w:rFonts w:ascii="Arial" w:hAnsi="Arial" w:cs="Arial" w:hint="eastAsia"/>
          <w:sz w:val="22"/>
        </w:rPr>
        <w:t>Minjin</w:t>
      </w:r>
      <w:proofErr w:type="spellEnd"/>
      <w:r w:rsidR="00AF0AFB">
        <w:rPr>
          <w:rFonts w:ascii="Arial" w:hAnsi="Arial" w:cs="Arial" w:hint="eastAsia"/>
          <w:sz w:val="22"/>
        </w:rPr>
        <w:t xml:space="preserve"> Lee</w:t>
      </w:r>
      <w:r w:rsidR="00AF0AFB">
        <w:rPr>
          <w:rFonts w:ascii="Arial" w:hAnsi="Arial" w:cs="Arial" w:hint="eastAsia"/>
          <w:sz w:val="22"/>
          <w:vertAlign w:val="superscript"/>
        </w:rPr>
        <w:t>1</w:t>
      </w:r>
      <w:r w:rsidR="00AF0AFB">
        <w:rPr>
          <w:rFonts w:ascii="Arial" w:hAnsi="Arial" w:cs="Arial" w:hint="eastAsia"/>
          <w:sz w:val="22"/>
        </w:rPr>
        <w:t xml:space="preserve">, </w:t>
      </w:r>
      <w:r>
        <w:rPr>
          <w:rFonts w:ascii="Arial" w:hAnsi="Arial" w:cs="Arial" w:hint="eastAsia"/>
          <w:sz w:val="22"/>
        </w:rPr>
        <w:t>Hyejin Shin</w:t>
      </w:r>
      <w:r>
        <w:rPr>
          <w:rFonts w:ascii="Arial" w:hAnsi="Arial" w:cs="Arial" w:hint="eastAsia"/>
          <w:sz w:val="22"/>
          <w:vertAlign w:val="superscript"/>
        </w:rPr>
        <w:t>2</w:t>
      </w:r>
      <w:r>
        <w:rPr>
          <w:rFonts w:ascii="Arial" w:hAnsi="Arial" w:cs="Arial" w:hint="eastAsia"/>
          <w:sz w:val="22"/>
        </w:rPr>
        <w:t xml:space="preserve">, </w:t>
      </w:r>
      <w:proofErr w:type="spellStart"/>
      <w:r w:rsidRPr="001D09AF">
        <w:rPr>
          <w:rFonts w:ascii="Arial" w:hAnsi="Arial" w:cs="Arial"/>
          <w:sz w:val="22"/>
        </w:rPr>
        <w:t>Hyunjung</w:t>
      </w:r>
      <w:proofErr w:type="spellEnd"/>
      <w:r w:rsidRPr="001D09AF">
        <w:rPr>
          <w:rFonts w:ascii="Arial" w:hAnsi="Arial" w:cs="Arial"/>
          <w:sz w:val="22"/>
        </w:rPr>
        <w:t xml:space="preserve"> Jade Lim</w:t>
      </w:r>
      <w:r>
        <w:rPr>
          <w:rFonts w:ascii="Arial" w:hAnsi="Arial" w:cs="Arial" w:hint="eastAsia"/>
          <w:sz w:val="22"/>
          <w:vertAlign w:val="superscript"/>
        </w:rPr>
        <w:t>1</w:t>
      </w:r>
    </w:p>
    <w:p w14:paraId="00279A8B" w14:textId="77777777" w:rsidR="005D2AB9" w:rsidRDefault="005D2AB9" w:rsidP="005D2AB9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  <w:vertAlign w:val="superscript"/>
        </w:rPr>
        <w:t>1</w:t>
      </w:r>
      <w:r w:rsidRPr="001D09AF">
        <w:rPr>
          <w:rFonts w:ascii="Arial" w:hAnsi="Arial" w:cs="Arial"/>
          <w:sz w:val="22"/>
        </w:rPr>
        <w:t xml:space="preserve">Department of Veterinary Medicine, </w:t>
      </w:r>
      <w:proofErr w:type="spellStart"/>
      <w:r w:rsidRPr="001D09AF">
        <w:rPr>
          <w:rFonts w:ascii="Arial" w:hAnsi="Arial" w:cs="Arial"/>
          <w:sz w:val="22"/>
        </w:rPr>
        <w:t>Konkuk</w:t>
      </w:r>
      <w:proofErr w:type="spellEnd"/>
      <w:r w:rsidRPr="001D09AF">
        <w:rPr>
          <w:rFonts w:ascii="Arial" w:hAnsi="Arial" w:cs="Arial"/>
          <w:sz w:val="22"/>
        </w:rPr>
        <w:t xml:space="preserve"> University, Seoul 05029, South Korea</w:t>
      </w:r>
    </w:p>
    <w:p w14:paraId="7060926A" w14:textId="4B211638" w:rsidR="004843A2" w:rsidRPr="00786372" w:rsidRDefault="005D2AB9" w:rsidP="007D1157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  <w:vertAlign w:val="superscript"/>
        </w:rPr>
        <w:t>2</w:t>
      </w:r>
      <w:r w:rsidRPr="00CC3A80">
        <w:rPr>
          <w:rFonts w:ascii="Arial" w:hAnsi="Arial" w:cs="Arial"/>
          <w:sz w:val="22"/>
        </w:rPr>
        <w:t xml:space="preserve">Korean Medicine Convergence Research Division, Korea Institute of Oriental Medicine, Daejeon 34054, </w:t>
      </w:r>
      <w:r w:rsidR="00EC2F4C">
        <w:rPr>
          <w:rFonts w:ascii="Arial" w:hAnsi="Arial" w:cs="Arial" w:hint="eastAsia"/>
          <w:sz w:val="22"/>
        </w:rPr>
        <w:t>South</w:t>
      </w:r>
      <w:r w:rsidRPr="00CC3A80">
        <w:rPr>
          <w:rFonts w:ascii="Arial" w:hAnsi="Arial" w:cs="Arial"/>
          <w:sz w:val="22"/>
        </w:rPr>
        <w:t xml:space="preserve"> Korea</w:t>
      </w:r>
    </w:p>
    <w:p w14:paraId="08C5F517" w14:textId="77777777" w:rsidR="0092536D" w:rsidRDefault="0092536D">
      <w:pPr>
        <w:widowControl/>
        <w:wordWrap/>
        <w:autoSpaceDE/>
        <w:autoSpaceDN/>
        <w:rPr>
          <w:rFonts w:ascii="Arial" w:hAnsi="Arial" w:cs="Arial"/>
          <w:sz w:val="22"/>
          <w:szCs w:val="24"/>
        </w:rPr>
      </w:pPr>
    </w:p>
    <w:p w14:paraId="04563939" w14:textId="79F4CC19" w:rsidR="007D1157" w:rsidRPr="00691DB5" w:rsidRDefault="00682C16" w:rsidP="007D1157">
      <w:pPr>
        <w:widowControl/>
        <w:wordWrap/>
        <w:autoSpaceDE/>
        <w:autoSpaceDN/>
        <w:rPr>
          <w:rFonts w:ascii="Arial" w:hAnsi="Arial" w:cs="Arial" w:hint="eastAsia"/>
          <w:color w:val="0070C0"/>
          <w:sz w:val="22"/>
          <w:szCs w:val="24"/>
        </w:rPr>
      </w:pPr>
      <w:r w:rsidRPr="00544F26">
        <w:rPr>
          <w:rFonts w:ascii="Arial" w:hAnsi="Arial" w:cs="Arial" w:hint="eastAsia"/>
          <w:sz w:val="22"/>
          <w:szCs w:val="24"/>
        </w:rPr>
        <w:t>B</w:t>
      </w:r>
      <w:r w:rsidR="00EC2515" w:rsidRPr="00544F26">
        <w:rPr>
          <w:rFonts w:ascii="Arial" w:hAnsi="Arial" w:cs="Arial"/>
          <w:sz w:val="22"/>
          <w:szCs w:val="24"/>
        </w:rPr>
        <w:t>alanced nutrition</w:t>
      </w:r>
      <w:r w:rsidRPr="00544F26">
        <w:rPr>
          <w:rFonts w:ascii="Arial" w:hAnsi="Arial" w:cs="Arial" w:hint="eastAsia"/>
          <w:sz w:val="22"/>
          <w:szCs w:val="24"/>
        </w:rPr>
        <w:t xml:space="preserve"> is </w:t>
      </w:r>
      <w:r w:rsidRPr="00544F26">
        <w:rPr>
          <w:rFonts w:ascii="Arial" w:hAnsi="Arial" w:cs="Arial"/>
          <w:sz w:val="22"/>
          <w:szCs w:val="24"/>
        </w:rPr>
        <w:t>important</w:t>
      </w:r>
      <w:r w:rsidRPr="00544F26">
        <w:rPr>
          <w:rFonts w:ascii="Arial" w:hAnsi="Arial" w:cs="Arial" w:hint="eastAsia"/>
          <w:sz w:val="22"/>
          <w:szCs w:val="24"/>
        </w:rPr>
        <w:t xml:space="preserve"> for many aspects of</w:t>
      </w:r>
      <w:r w:rsidR="00150D93" w:rsidRPr="00544F26">
        <w:rPr>
          <w:rFonts w:ascii="Arial" w:hAnsi="Arial" w:cs="Arial" w:hint="eastAsia"/>
          <w:sz w:val="22"/>
          <w:szCs w:val="24"/>
        </w:rPr>
        <w:t xml:space="preserve"> female </w:t>
      </w:r>
      <w:r w:rsidR="00EC2515" w:rsidRPr="00544F26">
        <w:rPr>
          <w:rFonts w:ascii="Arial" w:hAnsi="Arial" w:cs="Arial"/>
          <w:sz w:val="22"/>
          <w:szCs w:val="24"/>
        </w:rPr>
        <w:t>reproductive function.</w:t>
      </w:r>
      <w:r w:rsidR="00EC2515" w:rsidRPr="00544F26">
        <w:rPr>
          <w:rFonts w:ascii="Arial" w:hAnsi="Arial" w:cs="Arial" w:hint="eastAsia"/>
          <w:sz w:val="22"/>
          <w:szCs w:val="24"/>
        </w:rPr>
        <w:t xml:space="preserve"> 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We recently observed that even a short-term high-fat diet (HFD, 4 weeks) negatively impacts ovarian gene expression similar to long-term HFD (&gt; 12 </w:t>
      </w:r>
      <w:r w:rsidR="00DE6C19" w:rsidRPr="00544F26">
        <w:rPr>
          <w:rFonts w:ascii="Arial" w:hAnsi="Arial" w:cs="Arial"/>
          <w:sz w:val="22"/>
          <w:szCs w:val="24"/>
        </w:rPr>
        <w:t>weeks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) (Lee et al. 2025), </w:t>
      </w:r>
      <w:r w:rsidR="00DE6C19" w:rsidRPr="00544F26">
        <w:rPr>
          <w:rFonts w:ascii="Arial" w:hAnsi="Arial" w:cs="Arial"/>
          <w:sz w:val="22"/>
          <w:szCs w:val="24"/>
        </w:rPr>
        <w:t>suggesting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that diet itself poses a risk </w:t>
      </w:r>
      <w:r w:rsidR="00DE6C19" w:rsidRPr="00544F26">
        <w:rPr>
          <w:rFonts w:ascii="Arial" w:hAnsi="Arial" w:cs="Arial"/>
          <w:sz w:val="22"/>
          <w:szCs w:val="24"/>
        </w:rPr>
        <w:t>to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reproduction before </w:t>
      </w:r>
      <w:r w:rsidR="00DE6C19" w:rsidRPr="00544F26">
        <w:rPr>
          <w:rFonts w:ascii="Arial" w:hAnsi="Arial" w:cs="Arial"/>
          <w:sz w:val="22"/>
          <w:szCs w:val="24"/>
        </w:rPr>
        <w:t>noticeable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weight change.</w:t>
      </w:r>
      <w:r w:rsidR="00342DBD" w:rsidRPr="00544F26">
        <w:rPr>
          <w:rFonts w:ascii="Arial" w:hAnsi="Arial" w:cs="Arial"/>
          <w:sz w:val="22"/>
          <w:szCs w:val="24"/>
        </w:rPr>
        <w:t xml:space="preserve"> In this study, we investigated how short-term HFD exposure affects immune cell populations and gene expression profiles in the uterine stroma.</w:t>
      </w:r>
      <w:r w:rsidR="00936B1B" w:rsidRPr="00544F26">
        <w:rPr>
          <w:rFonts w:ascii="Arial" w:hAnsi="Arial" w:cs="Arial" w:hint="eastAsia"/>
          <w:sz w:val="22"/>
          <w:szCs w:val="24"/>
        </w:rPr>
        <w:t xml:space="preserve"> </w:t>
      </w:r>
      <w:r w:rsidR="0092536D">
        <w:rPr>
          <w:rFonts w:ascii="Arial" w:hAnsi="Arial" w:cs="Arial"/>
          <w:sz w:val="22"/>
          <w:szCs w:val="24"/>
        </w:rPr>
        <w:t>Eight-week-old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92536D" w:rsidRPr="001F5015">
        <w:rPr>
          <w:rFonts w:ascii="Arial" w:hAnsi="Arial" w:cs="Arial"/>
          <w:sz w:val="22"/>
          <w:szCs w:val="24"/>
        </w:rPr>
        <w:t>ICR mice</w:t>
      </w:r>
      <w:r w:rsidR="0092536D">
        <w:rPr>
          <w:rFonts w:ascii="Arial" w:hAnsi="Arial" w:cs="Arial" w:hint="eastAsia"/>
          <w:sz w:val="22"/>
          <w:szCs w:val="24"/>
        </w:rPr>
        <w:t xml:space="preserve"> were fed </w:t>
      </w:r>
      <w:r w:rsidR="0092536D" w:rsidRPr="001F5015">
        <w:rPr>
          <w:rFonts w:ascii="Arial" w:hAnsi="Arial" w:cs="Arial"/>
          <w:sz w:val="22"/>
          <w:szCs w:val="24"/>
        </w:rPr>
        <w:t xml:space="preserve">HFD </w:t>
      </w:r>
      <w:r w:rsidR="0092536D">
        <w:rPr>
          <w:rFonts w:ascii="Arial" w:hAnsi="Arial" w:cs="Arial" w:hint="eastAsia"/>
          <w:sz w:val="22"/>
          <w:szCs w:val="24"/>
        </w:rPr>
        <w:t>(</w:t>
      </w:r>
      <w:r w:rsidR="0092536D" w:rsidRPr="001F5015">
        <w:rPr>
          <w:rFonts w:ascii="Arial" w:hAnsi="Arial" w:cs="Arial"/>
          <w:sz w:val="22"/>
          <w:szCs w:val="24"/>
        </w:rPr>
        <w:t>60% fat)</w:t>
      </w:r>
      <w:r w:rsidR="0092536D">
        <w:rPr>
          <w:rFonts w:ascii="Arial" w:hAnsi="Arial" w:cs="Arial" w:hint="eastAsia"/>
          <w:sz w:val="22"/>
          <w:szCs w:val="24"/>
        </w:rPr>
        <w:t xml:space="preserve"> (n = 12) or </w:t>
      </w:r>
      <w:r w:rsidR="0092536D" w:rsidRPr="001F5015">
        <w:rPr>
          <w:rFonts w:ascii="Arial" w:hAnsi="Arial" w:cs="Arial"/>
          <w:sz w:val="22"/>
          <w:szCs w:val="24"/>
        </w:rPr>
        <w:t>normal diet (ND, 10% fat)</w:t>
      </w:r>
      <w:r w:rsidR="0092536D">
        <w:rPr>
          <w:rFonts w:ascii="Arial" w:hAnsi="Arial" w:cs="Arial" w:hint="eastAsia"/>
          <w:sz w:val="22"/>
          <w:szCs w:val="24"/>
        </w:rPr>
        <w:t xml:space="preserve"> (n = 12)</w:t>
      </w:r>
      <w:r w:rsidR="0092536D" w:rsidRPr="001F5015">
        <w:rPr>
          <w:rFonts w:ascii="Arial" w:hAnsi="Arial" w:cs="Arial"/>
          <w:sz w:val="22"/>
          <w:szCs w:val="24"/>
        </w:rPr>
        <w:t xml:space="preserve"> for 4 weeks. </w:t>
      </w:r>
      <w:r w:rsidR="0092536D" w:rsidRPr="004050E0">
        <w:rPr>
          <w:rFonts w:ascii="Arial" w:hAnsi="Arial" w:cs="Arial"/>
          <w:sz w:val="22"/>
          <w:szCs w:val="24"/>
        </w:rPr>
        <w:t>For FACS</w:t>
      </w:r>
      <w:r w:rsidR="00A1153F">
        <w:rPr>
          <w:rFonts w:ascii="Arial" w:hAnsi="Arial" w:cs="Arial" w:hint="eastAsia"/>
          <w:sz w:val="22"/>
          <w:szCs w:val="24"/>
        </w:rPr>
        <w:t xml:space="preserve"> analysis</w:t>
      </w:r>
      <w:r w:rsidR="0092536D" w:rsidRPr="004050E0">
        <w:rPr>
          <w:rFonts w:ascii="Arial" w:hAnsi="Arial" w:cs="Arial"/>
          <w:sz w:val="22"/>
          <w:szCs w:val="24"/>
        </w:rPr>
        <w:t>, uterine stromal cells (USCs) were isolated from pooled uteri of four mice, and three independent samples were obtained per group.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A1153F">
        <w:rPr>
          <w:rFonts w:ascii="Arial" w:hAnsi="Arial" w:cs="Arial" w:hint="eastAsia"/>
          <w:sz w:val="22"/>
          <w:szCs w:val="24"/>
        </w:rPr>
        <w:t>U</w:t>
      </w:r>
      <w:r w:rsidR="0092536D" w:rsidRPr="00080845">
        <w:rPr>
          <w:rFonts w:ascii="Arial" w:hAnsi="Arial" w:cs="Arial"/>
          <w:sz w:val="22"/>
          <w:szCs w:val="24"/>
        </w:rPr>
        <w:t xml:space="preserve">teri were collected at the diestrus stage </w:t>
      </w:r>
      <w:r w:rsidR="00A1153F">
        <w:rPr>
          <w:rFonts w:ascii="Arial" w:hAnsi="Arial" w:cs="Arial" w:hint="eastAsia"/>
          <w:sz w:val="22"/>
          <w:szCs w:val="24"/>
        </w:rPr>
        <w:t>72 h after</w:t>
      </w:r>
      <w:r w:rsidR="0092536D" w:rsidRPr="00080845">
        <w:rPr>
          <w:rFonts w:ascii="Arial" w:hAnsi="Arial" w:cs="Arial"/>
          <w:sz w:val="22"/>
          <w:szCs w:val="24"/>
        </w:rPr>
        <w:t xml:space="preserve"> </w:t>
      </w:r>
      <w:r w:rsidR="00E94D58">
        <w:rPr>
          <w:rFonts w:ascii="Arial" w:hAnsi="Arial" w:cs="Arial" w:hint="eastAsia"/>
          <w:sz w:val="22"/>
          <w:szCs w:val="24"/>
        </w:rPr>
        <w:t xml:space="preserve">an </w:t>
      </w:r>
      <w:r w:rsidR="0092536D" w:rsidRPr="00080845">
        <w:rPr>
          <w:rFonts w:ascii="Arial" w:hAnsi="Arial" w:cs="Arial"/>
          <w:sz w:val="22"/>
          <w:szCs w:val="24"/>
        </w:rPr>
        <w:t>intraperitoneal injection of 5 IU PMSG.</w:t>
      </w:r>
      <w:r w:rsidR="0092536D" w:rsidRPr="00080845">
        <w:rPr>
          <w:rFonts w:ascii="Arial" w:hAnsi="Arial" w:cs="Arial" w:hint="eastAsia"/>
          <w:sz w:val="22"/>
          <w:szCs w:val="24"/>
        </w:rPr>
        <w:t xml:space="preserve"> </w:t>
      </w:r>
      <w:r w:rsidR="0092536D" w:rsidRPr="0053640A">
        <w:rPr>
          <w:rFonts w:ascii="Arial" w:hAnsi="Arial" w:cs="Arial"/>
          <w:sz w:val="22"/>
          <w:szCs w:val="24"/>
        </w:rPr>
        <w:t xml:space="preserve">For RNA sequencing, USC samples were prepared by pooling tissues from three mice, </w:t>
      </w:r>
      <w:r w:rsidR="00A752E4" w:rsidRPr="00A752E4">
        <w:rPr>
          <w:rFonts w:ascii="Arial" w:hAnsi="Arial" w:cs="Arial"/>
          <w:sz w:val="22"/>
          <w:szCs w:val="24"/>
        </w:rPr>
        <w:t>with five pooled samples analyzed per group</w:t>
      </w:r>
      <w:r w:rsidR="00A752E4">
        <w:rPr>
          <w:rFonts w:ascii="Arial" w:hAnsi="Arial" w:cs="Arial" w:hint="eastAsia"/>
          <w:sz w:val="22"/>
          <w:szCs w:val="24"/>
        </w:rPr>
        <w:t xml:space="preserve"> </w:t>
      </w:r>
      <w:r w:rsidR="0092536D" w:rsidRPr="00A610E4">
        <w:rPr>
          <w:rFonts w:ascii="Arial" w:hAnsi="Arial" w:cs="Arial"/>
          <w:sz w:val="22"/>
          <w:szCs w:val="24"/>
        </w:rPr>
        <w:t>(n = 15 per group).</w:t>
      </w:r>
      <w:r w:rsidR="0092536D">
        <w:rPr>
          <w:rFonts w:ascii="Arial" w:hAnsi="Arial" w:cs="Arial" w:hint="eastAsia"/>
          <w:sz w:val="22"/>
          <w:szCs w:val="24"/>
        </w:rPr>
        <w:t xml:space="preserve"> Immunofluorescence staining was performed </w:t>
      </w:r>
      <w:r w:rsidR="0092536D">
        <w:rPr>
          <w:rFonts w:ascii="Arial" w:hAnsi="Arial" w:cs="Arial"/>
          <w:sz w:val="22"/>
          <w:szCs w:val="24"/>
        </w:rPr>
        <w:t xml:space="preserve">on </w:t>
      </w:r>
      <w:r w:rsidR="0092536D">
        <w:rPr>
          <w:rFonts w:ascii="Arial" w:hAnsi="Arial" w:cs="Arial" w:hint="eastAsia"/>
          <w:sz w:val="22"/>
          <w:szCs w:val="24"/>
        </w:rPr>
        <w:t>uterine cryosections</w:t>
      </w:r>
      <w:r w:rsidR="0092536D">
        <w:rPr>
          <w:rFonts w:ascii="Arial" w:hAnsi="Arial" w:cs="Arial"/>
          <w:sz w:val="22"/>
          <w:szCs w:val="24"/>
        </w:rPr>
        <w:t xml:space="preserve"> using an</w:t>
      </w:r>
      <w:r w:rsidR="0092536D">
        <w:rPr>
          <w:rFonts w:ascii="Arial" w:hAnsi="Arial" w:cs="Arial" w:hint="eastAsia"/>
          <w:sz w:val="22"/>
          <w:szCs w:val="24"/>
        </w:rPr>
        <w:t xml:space="preserve"> anti-CD68 antibody. </w:t>
      </w:r>
      <w:r w:rsidR="0092536D" w:rsidRPr="00050592">
        <w:rPr>
          <w:rFonts w:ascii="Arial" w:hAnsi="Arial" w:cs="Arial"/>
          <w:sz w:val="22"/>
        </w:rPr>
        <w:t>FACS analysis revealed a significant reduction in monocytes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(CD11b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cells), </w:t>
      </w:r>
      <w:r w:rsidR="0092536D" w:rsidRPr="005A69D8">
        <w:rPr>
          <w:rFonts w:ascii="Arial" w:hAnsi="Arial" w:cs="Arial"/>
          <w:sz w:val="22"/>
        </w:rPr>
        <w:t>total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macrophages (F4/80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cells), and M1 macrophages (CD80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cells) </w:t>
      </w:r>
      <w:r w:rsidR="0092536D" w:rsidRPr="005A69D8">
        <w:rPr>
          <w:rFonts w:ascii="Arial" w:hAnsi="Arial" w:cs="Arial"/>
          <w:sz w:val="22"/>
        </w:rPr>
        <w:t>in HF</w:t>
      </w:r>
      <w:r w:rsidR="0092536D">
        <w:rPr>
          <w:rFonts w:ascii="Arial" w:hAnsi="Arial" w:cs="Arial" w:hint="eastAsia"/>
          <w:sz w:val="22"/>
        </w:rPr>
        <w:t>D mice</w:t>
      </w:r>
      <w:r w:rsidR="0092536D" w:rsidRPr="005A69D8">
        <w:rPr>
          <w:rFonts w:ascii="Arial" w:hAnsi="Arial" w:cs="Arial"/>
          <w:sz w:val="22"/>
        </w:rPr>
        <w:t xml:space="preserve"> compared with ND</w:t>
      </w:r>
      <w:r w:rsidR="0092536D">
        <w:rPr>
          <w:rFonts w:ascii="Arial" w:hAnsi="Arial" w:cs="Arial" w:hint="eastAsia"/>
          <w:sz w:val="22"/>
        </w:rPr>
        <w:t xml:space="preserve"> mice</w:t>
      </w:r>
      <w:r w:rsidR="0092536D" w:rsidRPr="005A69D8">
        <w:rPr>
          <w:rFonts w:ascii="Arial" w:hAnsi="Arial" w:cs="Arial"/>
          <w:sz w:val="22"/>
        </w:rPr>
        <w:t>.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557485">
        <w:rPr>
          <w:rFonts w:ascii="Arial" w:hAnsi="Arial" w:cs="Arial"/>
          <w:sz w:val="22"/>
        </w:rPr>
        <w:t>CD8</w:t>
      </w:r>
      <w:r w:rsidR="001B673E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557485">
        <w:rPr>
          <w:rFonts w:ascii="Arial" w:hAnsi="Arial" w:cs="Arial"/>
          <w:sz w:val="22"/>
        </w:rPr>
        <w:t xml:space="preserve"> T cells also showed a decreasing trend in HFD</w:t>
      </w:r>
      <w:r w:rsidR="0092536D">
        <w:rPr>
          <w:rFonts w:ascii="Arial" w:hAnsi="Arial" w:cs="Arial" w:hint="eastAsia"/>
          <w:sz w:val="22"/>
        </w:rPr>
        <w:t xml:space="preserve"> mice</w:t>
      </w:r>
      <w:r w:rsidR="0092536D" w:rsidRPr="00557485">
        <w:rPr>
          <w:rFonts w:ascii="Arial" w:hAnsi="Arial" w:cs="Arial"/>
          <w:sz w:val="22"/>
        </w:rPr>
        <w:t xml:space="preserve">. </w:t>
      </w:r>
      <w:r w:rsidR="0092536D" w:rsidRPr="006E52CF">
        <w:rPr>
          <w:rFonts w:ascii="Arial" w:hAnsi="Arial" w:cs="Arial"/>
          <w:sz w:val="22"/>
        </w:rPr>
        <w:t>B220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and CD4</w:t>
      </w:r>
      <w:r w:rsidR="001B673E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</w:t>
      </w:r>
      <w:r w:rsidR="0092536D" w:rsidRPr="0061211D">
        <w:rPr>
          <w:rFonts w:ascii="Arial" w:hAnsi="Arial" w:cs="Arial"/>
          <w:sz w:val="22"/>
        </w:rPr>
        <w:t>populations were present at minimal levels and therefore omitted from the analysis</w:t>
      </w:r>
      <w:r w:rsidR="0092536D" w:rsidRPr="00806E28">
        <w:rPr>
          <w:rFonts w:ascii="Arial" w:hAnsi="Arial" w:cs="Arial"/>
          <w:sz w:val="22"/>
        </w:rPr>
        <w:t>.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1A1392">
        <w:rPr>
          <w:rFonts w:ascii="Arial" w:hAnsi="Arial" w:cs="Arial"/>
          <w:sz w:val="22"/>
        </w:rPr>
        <w:t>Immunofluorescence staining showed that CD68-positive macrophages were localized within the stromal region of the uterus in both ND and HFD mice.</w:t>
      </w:r>
      <w:r w:rsidR="0092536D" w:rsidRPr="006E52CF">
        <w:rPr>
          <w:rFonts w:ascii="Arial" w:hAnsi="Arial" w:cs="Arial"/>
          <w:sz w:val="22"/>
        </w:rPr>
        <w:t xml:space="preserve"> RNA sequencing </w:t>
      </w:r>
      <w:r w:rsidR="0092536D">
        <w:rPr>
          <w:rFonts w:ascii="Arial" w:hAnsi="Arial" w:cs="Arial" w:hint="eastAsia"/>
          <w:sz w:val="22"/>
        </w:rPr>
        <w:t xml:space="preserve">analysis revealed </w:t>
      </w:r>
      <w:r w:rsidR="0092536D" w:rsidRPr="00373B28">
        <w:rPr>
          <w:rFonts w:ascii="Arial" w:hAnsi="Arial" w:cs="Arial"/>
          <w:sz w:val="22"/>
        </w:rPr>
        <w:t>upregulation of cell proliferation-related pathways in HFD-USCs</w:t>
      </w:r>
      <w:r w:rsidR="0092536D" w:rsidRPr="006E52CF">
        <w:rPr>
          <w:rFonts w:ascii="Arial" w:hAnsi="Arial" w:cs="Arial"/>
          <w:sz w:val="22"/>
        </w:rPr>
        <w:t xml:space="preserve">, </w:t>
      </w:r>
      <w:r w:rsidR="0092536D">
        <w:rPr>
          <w:rFonts w:ascii="Arial" w:hAnsi="Arial" w:cs="Arial"/>
          <w:sz w:val="22"/>
        </w:rPr>
        <w:t xml:space="preserve">with </w:t>
      </w:r>
      <w:r w:rsidR="0092536D" w:rsidRPr="006E52CF">
        <w:rPr>
          <w:rFonts w:ascii="Arial" w:hAnsi="Arial" w:cs="Arial"/>
          <w:sz w:val="22"/>
        </w:rPr>
        <w:t>enrichment of genes associated with the M phase of the cell cycle. In contrast, multiple granzyme family genes were markedly downregulated in the HFD</w:t>
      </w:r>
      <w:r w:rsidR="0092536D">
        <w:rPr>
          <w:rFonts w:ascii="Arial" w:hAnsi="Arial" w:cs="Arial" w:hint="eastAsia"/>
          <w:sz w:val="22"/>
        </w:rPr>
        <w:t>-USCs</w:t>
      </w:r>
      <w:r w:rsidR="0092536D" w:rsidRPr="006E52CF">
        <w:rPr>
          <w:rFonts w:ascii="Arial" w:hAnsi="Arial" w:cs="Arial"/>
          <w:sz w:val="22"/>
        </w:rPr>
        <w:t xml:space="preserve">, along with decreased expression of </w:t>
      </w:r>
      <w:r w:rsidR="0092536D" w:rsidRPr="006E52CF">
        <w:rPr>
          <w:rFonts w:ascii="Arial" w:hAnsi="Arial" w:cs="Arial"/>
          <w:i/>
          <w:iCs/>
          <w:sz w:val="22"/>
        </w:rPr>
        <w:t>Prf1</w:t>
      </w:r>
      <w:r w:rsidR="0092536D" w:rsidRPr="006E52CF">
        <w:rPr>
          <w:rFonts w:ascii="Arial" w:hAnsi="Arial" w:cs="Arial"/>
          <w:sz w:val="22"/>
        </w:rPr>
        <w:t>, which is required for granzyme-mediated cytotoxicity.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92536D" w:rsidRPr="00AF3B03">
        <w:rPr>
          <w:rFonts w:ascii="Arial" w:hAnsi="Arial" w:cs="Arial"/>
          <w:sz w:val="22"/>
          <w:szCs w:val="24"/>
        </w:rPr>
        <w:t>Our findings indicate that four weeks of HFD exposure leads to a reduction in specific immune cell populations within the uterus.</w:t>
      </w:r>
      <w:r w:rsidR="0092536D" w:rsidRPr="00AF3B03">
        <w:rPr>
          <w:rFonts w:ascii="Arial" w:hAnsi="Arial" w:cs="Arial" w:hint="eastAsia"/>
          <w:sz w:val="22"/>
          <w:szCs w:val="24"/>
        </w:rPr>
        <w:t xml:space="preserve"> </w:t>
      </w:r>
      <w:r w:rsidR="0092536D" w:rsidRPr="00D04733">
        <w:rPr>
          <w:rFonts w:ascii="Arial" w:hAnsi="Arial" w:cs="Arial"/>
          <w:sz w:val="22"/>
          <w:szCs w:val="24"/>
        </w:rPr>
        <w:t>Th</w:t>
      </w:r>
      <w:r w:rsidR="00E94D58">
        <w:rPr>
          <w:rFonts w:ascii="Arial" w:hAnsi="Arial" w:cs="Arial" w:hint="eastAsia"/>
          <w:sz w:val="22"/>
          <w:szCs w:val="24"/>
        </w:rPr>
        <w:t>e</w:t>
      </w:r>
      <w:r w:rsidR="0092536D" w:rsidRPr="00D04733">
        <w:rPr>
          <w:rFonts w:ascii="Arial" w:hAnsi="Arial" w:cs="Arial"/>
          <w:sz w:val="22"/>
          <w:szCs w:val="24"/>
        </w:rPr>
        <w:t xml:space="preserve"> </w:t>
      </w:r>
      <w:r w:rsidR="00E94D58">
        <w:rPr>
          <w:rFonts w:ascii="Arial" w:hAnsi="Arial" w:cs="Arial" w:hint="eastAsia"/>
          <w:sz w:val="22"/>
          <w:szCs w:val="24"/>
        </w:rPr>
        <w:t xml:space="preserve">results </w:t>
      </w:r>
      <w:r w:rsidR="0092536D" w:rsidRPr="00D04733">
        <w:rPr>
          <w:rFonts w:ascii="Arial" w:hAnsi="Arial" w:cs="Arial"/>
          <w:sz w:val="22"/>
          <w:szCs w:val="24"/>
        </w:rPr>
        <w:t xml:space="preserve">suggest that </w:t>
      </w:r>
      <w:r w:rsidR="00E94D58">
        <w:rPr>
          <w:rFonts w:ascii="Arial" w:hAnsi="Arial" w:cs="Arial" w:hint="eastAsia"/>
          <w:sz w:val="22"/>
          <w:szCs w:val="24"/>
        </w:rPr>
        <w:t xml:space="preserve">even </w:t>
      </w:r>
      <w:r w:rsidR="0092536D" w:rsidRPr="00D04733">
        <w:rPr>
          <w:rFonts w:ascii="Arial" w:hAnsi="Arial" w:cs="Arial"/>
          <w:sz w:val="22"/>
          <w:szCs w:val="24"/>
        </w:rPr>
        <w:t xml:space="preserve">a </w:t>
      </w:r>
      <w:r w:rsidR="00E94D58">
        <w:rPr>
          <w:rFonts w:ascii="Arial" w:hAnsi="Arial" w:cs="Arial" w:hint="eastAsia"/>
          <w:sz w:val="22"/>
          <w:szCs w:val="24"/>
        </w:rPr>
        <w:t xml:space="preserve">short-term </w:t>
      </w:r>
      <w:r w:rsidR="0092536D" w:rsidRPr="00D04733">
        <w:rPr>
          <w:rFonts w:ascii="Arial" w:hAnsi="Arial" w:cs="Arial"/>
          <w:sz w:val="22"/>
          <w:szCs w:val="24"/>
        </w:rPr>
        <w:t xml:space="preserve">high-fat diet </w:t>
      </w:r>
      <w:r w:rsidR="009818A8">
        <w:rPr>
          <w:rFonts w:ascii="Arial" w:hAnsi="Arial" w:cs="Arial" w:hint="eastAsia"/>
          <w:sz w:val="22"/>
          <w:szCs w:val="24"/>
        </w:rPr>
        <w:t>alters</w:t>
      </w:r>
      <w:r w:rsidR="0092536D" w:rsidRPr="00D04733">
        <w:rPr>
          <w:rFonts w:ascii="Arial" w:hAnsi="Arial" w:cs="Arial"/>
          <w:sz w:val="22"/>
          <w:szCs w:val="24"/>
        </w:rPr>
        <w:t xml:space="preserve"> the balance between immune function and cellular proliferation in the uterus.</w:t>
      </w:r>
      <w:r w:rsidR="001D0279">
        <w:rPr>
          <w:rFonts w:ascii="Arial" w:hAnsi="Arial" w:cs="Arial" w:hint="eastAsia"/>
          <w:sz w:val="22"/>
          <w:szCs w:val="24"/>
        </w:rPr>
        <w:t xml:space="preserve"> </w:t>
      </w:r>
      <w:r w:rsidR="001D0279" w:rsidRPr="001D0279">
        <w:rPr>
          <w:rFonts w:ascii="Arial" w:hAnsi="Arial" w:cs="Arial"/>
          <w:sz w:val="22"/>
          <w:szCs w:val="24"/>
        </w:rPr>
        <w:t>This work was supported by the National Research Foundation of Korea (NRF) grant funded by the Korea government (MSIT). (RS-2024-00341999).</w:t>
      </w:r>
    </w:p>
    <w:sectPr w:rsidR="007D1157" w:rsidRPr="00691DB5" w:rsidSect="00E211F6">
      <w:headerReference w:type="default" r:id="rId7"/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E5F9B" w14:textId="77777777" w:rsidR="00883772" w:rsidRDefault="00883772">
      <w:pPr>
        <w:spacing w:after="0" w:line="240" w:lineRule="auto"/>
      </w:pPr>
      <w:r>
        <w:separator/>
      </w:r>
    </w:p>
  </w:endnote>
  <w:endnote w:type="continuationSeparator" w:id="0">
    <w:p w14:paraId="4C3D7FC6" w14:textId="77777777" w:rsidR="00883772" w:rsidRDefault="00883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2BFDC96" w14:paraId="5D75DD25" w14:textId="77777777" w:rsidTr="52BFDC96">
      <w:trPr>
        <w:trHeight w:val="300"/>
      </w:trPr>
      <w:tc>
        <w:tcPr>
          <w:tcW w:w="3005" w:type="dxa"/>
        </w:tcPr>
        <w:p w14:paraId="13B7A256" w14:textId="77777777" w:rsidR="00252C10" w:rsidRDefault="00252C10" w:rsidP="52BFDC96">
          <w:pPr>
            <w:pStyle w:val="aa"/>
            <w:ind w:left="-115"/>
            <w:jc w:val="left"/>
          </w:pPr>
        </w:p>
      </w:tc>
      <w:tc>
        <w:tcPr>
          <w:tcW w:w="3005" w:type="dxa"/>
        </w:tcPr>
        <w:p w14:paraId="06DB7FEF" w14:textId="77777777" w:rsidR="00252C10" w:rsidRDefault="00252C10" w:rsidP="52BFDC96">
          <w:pPr>
            <w:pStyle w:val="aa"/>
            <w:jc w:val="center"/>
          </w:pPr>
        </w:p>
      </w:tc>
      <w:tc>
        <w:tcPr>
          <w:tcW w:w="3005" w:type="dxa"/>
        </w:tcPr>
        <w:p w14:paraId="2DC79A44" w14:textId="77777777" w:rsidR="00252C10" w:rsidRDefault="00252C10" w:rsidP="52BFDC96">
          <w:pPr>
            <w:pStyle w:val="aa"/>
            <w:ind w:right="-115"/>
            <w:jc w:val="right"/>
          </w:pPr>
        </w:p>
      </w:tc>
    </w:tr>
  </w:tbl>
  <w:p w14:paraId="0DB1C85C" w14:textId="77777777" w:rsidR="00252C10" w:rsidRDefault="00252C10" w:rsidP="52BFDC9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4E1FB" w14:textId="77777777" w:rsidR="00883772" w:rsidRDefault="00883772">
      <w:pPr>
        <w:spacing w:after="0" w:line="240" w:lineRule="auto"/>
      </w:pPr>
      <w:r>
        <w:separator/>
      </w:r>
    </w:p>
  </w:footnote>
  <w:footnote w:type="continuationSeparator" w:id="0">
    <w:p w14:paraId="376B28E6" w14:textId="77777777" w:rsidR="00883772" w:rsidRDefault="00883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2BFDC96" w14:paraId="5EAAA989" w14:textId="77777777" w:rsidTr="52BFDC96">
      <w:trPr>
        <w:trHeight w:val="300"/>
      </w:trPr>
      <w:tc>
        <w:tcPr>
          <w:tcW w:w="3005" w:type="dxa"/>
        </w:tcPr>
        <w:p w14:paraId="6EB1A2A9" w14:textId="77777777" w:rsidR="00252C10" w:rsidRDefault="00252C10" w:rsidP="52BFDC96">
          <w:pPr>
            <w:pStyle w:val="aa"/>
            <w:ind w:left="-115"/>
            <w:jc w:val="left"/>
          </w:pPr>
        </w:p>
      </w:tc>
      <w:tc>
        <w:tcPr>
          <w:tcW w:w="3005" w:type="dxa"/>
        </w:tcPr>
        <w:p w14:paraId="2FBA24D5" w14:textId="77777777" w:rsidR="00252C10" w:rsidRDefault="00252C10" w:rsidP="52BFDC96">
          <w:pPr>
            <w:pStyle w:val="aa"/>
            <w:jc w:val="center"/>
          </w:pPr>
        </w:p>
      </w:tc>
      <w:tc>
        <w:tcPr>
          <w:tcW w:w="3005" w:type="dxa"/>
        </w:tcPr>
        <w:p w14:paraId="1323C78A" w14:textId="77777777" w:rsidR="00252C10" w:rsidRDefault="00252C10" w:rsidP="52BFDC96">
          <w:pPr>
            <w:pStyle w:val="aa"/>
            <w:ind w:right="-115"/>
            <w:jc w:val="right"/>
          </w:pPr>
        </w:p>
      </w:tc>
    </w:tr>
  </w:tbl>
  <w:p w14:paraId="5436D3A5" w14:textId="77777777" w:rsidR="00252C10" w:rsidRDefault="00252C10" w:rsidP="52BFDC96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F6"/>
    <w:rsid w:val="00002AB0"/>
    <w:rsid w:val="00040596"/>
    <w:rsid w:val="00050592"/>
    <w:rsid w:val="00056DD5"/>
    <w:rsid w:val="00064A9E"/>
    <w:rsid w:val="00080845"/>
    <w:rsid w:val="00107994"/>
    <w:rsid w:val="001118BB"/>
    <w:rsid w:val="0011530E"/>
    <w:rsid w:val="00116401"/>
    <w:rsid w:val="00136217"/>
    <w:rsid w:val="00150D93"/>
    <w:rsid w:val="00150F46"/>
    <w:rsid w:val="001515E2"/>
    <w:rsid w:val="00175869"/>
    <w:rsid w:val="00175EBB"/>
    <w:rsid w:val="00182832"/>
    <w:rsid w:val="00182D1E"/>
    <w:rsid w:val="00185CF7"/>
    <w:rsid w:val="0019293D"/>
    <w:rsid w:val="001A1392"/>
    <w:rsid w:val="001B673E"/>
    <w:rsid w:val="001D0279"/>
    <w:rsid w:val="001F5015"/>
    <w:rsid w:val="0020332C"/>
    <w:rsid w:val="00231539"/>
    <w:rsid w:val="0023433E"/>
    <w:rsid w:val="00240600"/>
    <w:rsid w:val="002426C9"/>
    <w:rsid w:val="00252C10"/>
    <w:rsid w:val="00253A39"/>
    <w:rsid w:val="00261095"/>
    <w:rsid w:val="002727DB"/>
    <w:rsid w:val="00280EB2"/>
    <w:rsid w:val="002A3E6E"/>
    <w:rsid w:val="002B7157"/>
    <w:rsid w:val="002C5FD9"/>
    <w:rsid w:val="002F414B"/>
    <w:rsid w:val="00312ABA"/>
    <w:rsid w:val="003337FE"/>
    <w:rsid w:val="00341A28"/>
    <w:rsid w:val="00342DBD"/>
    <w:rsid w:val="00346CAB"/>
    <w:rsid w:val="00363EC7"/>
    <w:rsid w:val="00373B28"/>
    <w:rsid w:val="003C5CDB"/>
    <w:rsid w:val="003D3C6B"/>
    <w:rsid w:val="003D46AB"/>
    <w:rsid w:val="004050E0"/>
    <w:rsid w:val="00436B6F"/>
    <w:rsid w:val="00451E55"/>
    <w:rsid w:val="004569A4"/>
    <w:rsid w:val="004843A2"/>
    <w:rsid w:val="004949CC"/>
    <w:rsid w:val="004A4A2F"/>
    <w:rsid w:val="004D78A6"/>
    <w:rsid w:val="004F661F"/>
    <w:rsid w:val="0053640A"/>
    <w:rsid w:val="00544F26"/>
    <w:rsid w:val="00557485"/>
    <w:rsid w:val="005A69D8"/>
    <w:rsid w:val="005D2AB9"/>
    <w:rsid w:val="005F61B4"/>
    <w:rsid w:val="0060042A"/>
    <w:rsid w:val="00607B58"/>
    <w:rsid w:val="0061211D"/>
    <w:rsid w:val="00656F12"/>
    <w:rsid w:val="00671BE4"/>
    <w:rsid w:val="00682C16"/>
    <w:rsid w:val="00691DB5"/>
    <w:rsid w:val="006E52CF"/>
    <w:rsid w:val="00743B48"/>
    <w:rsid w:val="00786372"/>
    <w:rsid w:val="007C29B3"/>
    <w:rsid w:val="007D1157"/>
    <w:rsid w:val="007D3A57"/>
    <w:rsid w:val="007F24F2"/>
    <w:rsid w:val="008021DE"/>
    <w:rsid w:val="00803E8C"/>
    <w:rsid w:val="00806E28"/>
    <w:rsid w:val="00811032"/>
    <w:rsid w:val="00860D00"/>
    <w:rsid w:val="008714D4"/>
    <w:rsid w:val="00871519"/>
    <w:rsid w:val="00872664"/>
    <w:rsid w:val="00873C14"/>
    <w:rsid w:val="00883772"/>
    <w:rsid w:val="0088668F"/>
    <w:rsid w:val="0089019D"/>
    <w:rsid w:val="008A202D"/>
    <w:rsid w:val="00904930"/>
    <w:rsid w:val="0092536D"/>
    <w:rsid w:val="00936B1B"/>
    <w:rsid w:val="009617B2"/>
    <w:rsid w:val="009813D3"/>
    <w:rsid w:val="009818A8"/>
    <w:rsid w:val="00986853"/>
    <w:rsid w:val="00990258"/>
    <w:rsid w:val="009B1601"/>
    <w:rsid w:val="009C13C3"/>
    <w:rsid w:val="009C1794"/>
    <w:rsid w:val="009D7625"/>
    <w:rsid w:val="009E43D1"/>
    <w:rsid w:val="00A04917"/>
    <w:rsid w:val="00A1153F"/>
    <w:rsid w:val="00A15064"/>
    <w:rsid w:val="00A3422F"/>
    <w:rsid w:val="00A53174"/>
    <w:rsid w:val="00A610E4"/>
    <w:rsid w:val="00A67E64"/>
    <w:rsid w:val="00A752E4"/>
    <w:rsid w:val="00A849B9"/>
    <w:rsid w:val="00A94797"/>
    <w:rsid w:val="00AF0AFB"/>
    <w:rsid w:val="00AF3B03"/>
    <w:rsid w:val="00B878F2"/>
    <w:rsid w:val="00BB3F71"/>
    <w:rsid w:val="00BD0005"/>
    <w:rsid w:val="00C01066"/>
    <w:rsid w:val="00C100D4"/>
    <w:rsid w:val="00C25683"/>
    <w:rsid w:val="00C52B0F"/>
    <w:rsid w:val="00C610BD"/>
    <w:rsid w:val="00C66DA6"/>
    <w:rsid w:val="00C712E8"/>
    <w:rsid w:val="00C75559"/>
    <w:rsid w:val="00C92809"/>
    <w:rsid w:val="00CC09E2"/>
    <w:rsid w:val="00D04733"/>
    <w:rsid w:val="00D349D2"/>
    <w:rsid w:val="00D41F3B"/>
    <w:rsid w:val="00D84F0C"/>
    <w:rsid w:val="00D920A5"/>
    <w:rsid w:val="00DB662D"/>
    <w:rsid w:val="00DE6C19"/>
    <w:rsid w:val="00DF67FC"/>
    <w:rsid w:val="00DF6948"/>
    <w:rsid w:val="00E14F25"/>
    <w:rsid w:val="00E211F6"/>
    <w:rsid w:val="00E35379"/>
    <w:rsid w:val="00E35AA7"/>
    <w:rsid w:val="00E55805"/>
    <w:rsid w:val="00E61AFF"/>
    <w:rsid w:val="00E62A64"/>
    <w:rsid w:val="00E636D5"/>
    <w:rsid w:val="00E7488D"/>
    <w:rsid w:val="00E94D58"/>
    <w:rsid w:val="00EC2515"/>
    <w:rsid w:val="00EC2F4C"/>
    <w:rsid w:val="00ED585C"/>
    <w:rsid w:val="00F120F7"/>
    <w:rsid w:val="00F35741"/>
    <w:rsid w:val="00F651C1"/>
    <w:rsid w:val="00F75580"/>
    <w:rsid w:val="00F96142"/>
    <w:rsid w:val="00FD4F27"/>
    <w:rsid w:val="00FE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4E8C40"/>
  <w15:chartTrackingRefBased/>
  <w15:docId w15:val="{784DEF0B-47C0-4C92-BF91-EFD75C3B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1F6"/>
    <w:pPr>
      <w:widowControl w:val="0"/>
      <w:wordWrap w:val="0"/>
      <w:autoSpaceDE w:val="0"/>
      <w:autoSpaceDN w:val="0"/>
    </w:pPr>
    <w:rPr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211F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11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11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11F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11F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11F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11F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11F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11F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211F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211F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211F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211F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E21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211F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E211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211F6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E211F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211F6"/>
    <w:pPr>
      <w:ind w:left="720"/>
      <w:contextualSpacing/>
    </w:pPr>
    <w:rPr>
      <w14:ligatures w14:val="standardContextual"/>
    </w:rPr>
  </w:style>
  <w:style w:type="character" w:styleId="a7">
    <w:name w:val="Intense Emphasis"/>
    <w:basedOn w:val="a0"/>
    <w:uiPriority w:val="21"/>
    <w:qFormat/>
    <w:rsid w:val="00E211F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21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E211F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211F6"/>
    <w:rPr>
      <w:b/>
      <w:bCs/>
      <w:smallCaps/>
      <w:color w:val="0F4761" w:themeColor="accent1" w:themeShade="BF"/>
      <w:spacing w:val="5"/>
    </w:rPr>
  </w:style>
  <w:style w:type="character" w:customStyle="1" w:styleId="Char3">
    <w:name w:val="머리글 Char"/>
    <w:basedOn w:val="a0"/>
    <w:link w:val="aa"/>
    <w:uiPriority w:val="99"/>
    <w:rsid w:val="00E211F6"/>
  </w:style>
  <w:style w:type="paragraph" w:styleId="aa">
    <w:name w:val="header"/>
    <w:basedOn w:val="a"/>
    <w:link w:val="Char3"/>
    <w:uiPriority w:val="99"/>
    <w:unhideWhenUsed/>
    <w:rsid w:val="00E211F6"/>
    <w:pPr>
      <w:tabs>
        <w:tab w:val="center" w:pos="4513"/>
        <w:tab w:val="right" w:pos="9026"/>
      </w:tabs>
      <w:snapToGrid w:val="0"/>
    </w:pPr>
    <w:rPr>
      <w14:ligatures w14:val="standardContextual"/>
    </w:rPr>
  </w:style>
  <w:style w:type="character" w:customStyle="1" w:styleId="Char10">
    <w:name w:val="머리글 Char1"/>
    <w:basedOn w:val="a0"/>
    <w:uiPriority w:val="99"/>
    <w:semiHidden/>
    <w:rsid w:val="00E211F6"/>
    <w:rPr>
      <w14:ligatures w14:val="none"/>
    </w:rPr>
  </w:style>
  <w:style w:type="character" w:customStyle="1" w:styleId="Char4">
    <w:name w:val="바닥글 Char"/>
    <w:basedOn w:val="a0"/>
    <w:link w:val="ab"/>
    <w:uiPriority w:val="99"/>
    <w:rsid w:val="00E211F6"/>
  </w:style>
  <w:style w:type="paragraph" w:styleId="ab">
    <w:name w:val="footer"/>
    <w:basedOn w:val="a"/>
    <w:link w:val="Char4"/>
    <w:uiPriority w:val="99"/>
    <w:unhideWhenUsed/>
    <w:rsid w:val="00E211F6"/>
    <w:pPr>
      <w:tabs>
        <w:tab w:val="center" w:pos="4513"/>
        <w:tab w:val="right" w:pos="9026"/>
      </w:tabs>
      <w:snapToGrid w:val="0"/>
    </w:pPr>
    <w:rPr>
      <w14:ligatures w14:val="standardContextual"/>
    </w:rPr>
  </w:style>
  <w:style w:type="character" w:customStyle="1" w:styleId="Char11">
    <w:name w:val="바닥글 Char1"/>
    <w:basedOn w:val="a0"/>
    <w:uiPriority w:val="99"/>
    <w:semiHidden/>
    <w:rsid w:val="00E211F6"/>
    <w:rPr>
      <w14:ligatures w14:val="none"/>
    </w:rPr>
  </w:style>
  <w:style w:type="paragraph" w:styleId="ac">
    <w:name w:val="Revision"/>
    <w:hidden/>
    <w:uiPriority w:val="99"/>
    <w:semiHidden/>
    <w:rsid w:val="002B7157"/>
    <w:pPr>
      <w:spacing w:after="0" w:line="240" w:lineRule="auto"/>
      <w:jc w:val="left"/>
    </w:pPr>
    <w:rPr>
      <w14:ligatures w14:val="none"/>
    </w:rPr>
  </w:style>
  <w:style w:type="character" w:styleId="ad">
    <w:name w:val="annotation reference"/>
    <w:basedOn w:val="a0"/>
    <w:uiPriority w:val="99"/>
    <w:semiHidden/>
    <w:unhideWhenUsed/>
    <w:rsid w:val="0089019D"/>
    <w:rPr>
      <w:sz w:val="18"/>
      <w:szCs w:val="18"/>
    </w:rPr>
  </w:style>
  <w:style w:type="paragraph" w:styleId="ae">
    <w:name w:val="annotation text"/>
    <w:basedOn w:val="a"/>
    <w:link w:val="Char5"/>
    <w:uiPriority w:val="99"/>
    <w:unhideWhenUsed/>
    <w:rsid w:val="0089019D"/>
    <w:pPr>
      <w:jc w:val="left"/>
    </w:pPr>
  </w:style>
  <w:style w:type="character" w:customStyle="1" w:styleId="Char5">
    <w:name w:val="메모 텍스트 Char"/>
    <w:basedOn w:val="a0"/>
    <w:link w:val="ae"/>
    <w:uiPriority w:val="99"/>
    <w:rsid w:val="0089019D"/>
    <w:rPr>
      <w14:ligatures w14:val="none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89019D"/>
    <w:rPr>
      <w:b/>
      <w:bCs/>
    </w:rPr>
  </w:style>
  <w:style w:type="character" w:customStyle="1" w:styleId="Char6">
    <w:name w:val="메모 주제 Char"/>
    <w:basedOn w:val="Char5"/>
    <w:link w:val="af"/>
    <w:uiPriority w:val="99"/>
    <w:semiHidden/>
    <w:rsid w:val="0089019D"/>
    <w:rPr>
      <w:b/>
      <w:bCs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D8C2D-D41A-4D51-8F6F-08BEBF631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수림 오</dc:creator>
  <cp:keywords/>
  <dc:description/>
  <cp:lastModifiedBy>수림 오</cp:lastModifiedBy>
  <cp:revision>74</cp:revision>
  <dcterms:created xsi:type="dcterms:W3CDTF">2026-03-29T02:40:00Z</dcterms:created>
  <dcterms:modified xsi:type="dcterms:W3CDTF">2026-04-01T07:44:00Z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7c2000dc-b74a-431d-9713-13f1ef37fb92</vt:lpwstr>
  </property>
</Properties>
</file>